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p>
    <w:p>
      <w:pPr>
        <w:jc w:val="center"/>
      </w:pPr>
      <w:r>
        <w:rPr>
          <w:b/>
          <w:color w:val="0F6B78"/>
          <w:sz w:val="20"/>
        </w:rPr>
        <w:t>HUMAN RESOURCE MANAGEMENT</w:t>
      </w:r>
    </w:p>
    <w:p>
      <w:pPr>
        <w:spacing w:after="160"/>
        <w:jc w:val="center"/>
      </w:pPr>
      <w:r>
        <w:rPr>
          <w:rFonts w:ascii="Aptos Display" w:hAnsi="Aptos Display"/>
          <w:b/>
          <w:color w:val="17365D"/>
          <w:sz w:val="56"/>
        </w:rPr>
        <w:t>HRM Complete Feature Catalogue</w:t>
      </w:r>
    </w:p>
    <w:p>
      <w:pPr>
        <w:spacing w:after="520"/>
        <w:jc w:val="center"/>
      </w:pPr>
      <w:r>
        <w:rPr>
          <w:i/>
          <w:color w:val="666666"/>
          <w:sz w:val="26"/>
        </w:rPr>
        <w:t>Zambia-first, globally configurable enterprise HR and payroll capability map</w:t>
      </w:r>
    </w:p>
    <w:tbl>
      <w:tblPr>
        <w:tblStyle w:val="TableGrid"/>
        <w:tblW w:type="dxa" w:w="9360"/>
        <w:jc w:val="left"/>
        <w:tblLayout w:type="fixed"/>
        <w:tblLook w:firstColumn="1" w:firstRow="1" w:lastColumn="0" w:lastRow="0" w:noHBand="0" w:noVBand="1" w:val="04A0"/>
      </w:tblPr>
      <w:tblGrid>
        <w:gridCol w:w="2300"/>
        <w:gridCol w:w="7060"/>
      </w:tblGrid>
      <w:tr>
        <w:trPr>
          <w:tblHeader w:val="true"/>
        </w:trPr>
        <w:tc>
          <w:tcPr>
            <w:tcW w:type="dxa" w:w="2300"/>
            <w:tcMar>
              <w:top w:w="80" w:type="dxa"/>
              <w:start w:w="120" w:type="dxa"/>
              <w:bottom w:w="80" w:type="dxa"/>
              <w:end w:w="120" w:type="dxa"/>
            </w:tcMar>
            <w:vAlign w:val="center"/>
            <w:shd w:fill="1F4E78"/>
          </w:tcPr>
          <w:p>
            <w:pPr>
              <w:spacing w:after="40" w:line="247" w:lineRule="auto"/>
            </w:pPr>
            <w:r>
              <w:rPr>
                <w:rFonts w:ascii="Aptos" w:hAnsi="Aptos"/>
                <w:b/>
                <w:color w:val="FFFFFF"/>
                <w:sz w:val="17"/>
              </w:rPr>
              <w:t>Document control</w:t>
            </w:r>
          </w:p>
        </w:tc>
        <w:tc>
          <w:tcPr>
            <w:tcW w:type="dxa" w:w="7060"/>
            <w:tcMar>
              <w:top w:w="80" w:type="dxa"/>
              <w:start w:w="120" w:type="dxa"/>
              <w:bottom w:w="80" w:type="dxa"/>
              <w:end w:w="120" w:type="dxa"/>
            </w:tcMar>
            <w:vAlign w:val="center"/>
            <w:shd w:fill="1F4E78"/>
          </w:tcPr>
          <w:p>
            <w:pPr>
              <w:spacing w:after="40" w:line="247" w:lineRule="auto"/>
            </w:pPr>
            <w:r>
              <w:rPr>
                <w:rFonts w:ascii="Aptos" w:hAnsi="Aptos"/>
                <w:b/>
                <w:color w:val="FFFFFF"/>
                <w:sz w:val="17"/>
              </w:rPr>
              <w:t>Value</w:t>
            </w:r>
          </w:p>
        </w:tc>
      </w:tr>
      <w:tr>
        <w:tc>
          <w:tcPr>
            <w:tcW w:type="dxa" w:w="2300"/>
          </w:tcPr>
          <w:p>
            <w:pPr>
              <w:spacing w:after="40" w:line="247" w:lineRule="auto"/>
            </w:pPr>
            <w:r>
              <w:rPr>
                <w:rFonts w:ascii="Aptos" w:hAnsi="Aptos"/>
                <w:sz w:val="17"/>
              </w:rPr>
              <w:t>Purpose</w:t>
            </w:r>
          </w:p>
        </w:tc>
        <w:tc>
          <w:tcPr>
            <w:tcW w:type="dxa" w:w="7060"/>
          </w:tcPr>
          <w:p>
            <w:pPr>
              <w:spacing w:after="40" w:line="247" w:lineRule="auto"/>
            </w:pPr>
            <w:r>
              <w:rPr>
                <w:rFonts w:ascii="Aptos" w:hAnsi="Aptos"/>
                <w:sz w:val="17"/>
              </w:rPr>
              <w:t>Master inventory of HRM categories, parent features and child capabilities.</w:t>
            </w:r>
          </w:p>
        </w:tc>
      </w:tr>
      <w:tr>
        <w:tc>
          <w:tcPr>
            <w:tcW w:type="dxa" w:w="2300"/>
            <w:shd w:fill="FAFCFD"/>
          </w:tcPr>
          <w:p>
            <w:pPr>
              <w:spacing w:after="40" w:line="247" w:lineRule="auto"/>
            </w:pPr>
            <w:r>
              <w:rPr>
                <w:rFonts w:ascii="Aptos" w:hAnsi="Aptos"/>
                <w:sz w:val="17"/>
              </w:rPr>
              <w:t>Coverage</w:t>
            </w:r>
          </w:p>
        </w:tc>
        <w:tc>
          <w:tcPr>
            <w:tcW w:type="dxa" w:w="7060"/>
            <w:shd w:fill="FAFCFD"/>
          </w:tcPr>
          <w:p>
            <w:pPr>
              <w:spacing w:after="40" w:line="247" w:lineRule="auto"/>
            </w:pPr>
            <w:r>
              <w:rPr>
                <w:rFonts w:ascii="Aptos" w:hAnsi="Aptos"/>
                <w:sz w:val="17"/>
              </w:rPr>
              <w:t>58 parent feature areas plus 43 detailed payroll capability groups.</w:t>
            </w:r>
          </w:p>
        </w:tc>
      </w:tr>
      <w:tr>
        <w:tc>
          <w:tcPr>
            <w:tcW w:type="dxa" w:w="2300"/>
          </w:tcPr>
          <w:p>
            <w:pPr>
              <w:spacing w:after="40" w:line="247" w:lineRule="auto"/>
            </w:pPr>
            <w:r>
              <w:rPr>
                <w:rFonts w:ascii="Aptos" w:hAnsi="Aptos"/>
                <w:sz w:val="17"/>
              </w:rPr>
              <w:t>Architecture</w:t>
            </w:r>
          </w:p>
        </w:tc>
        <w:tc>
          <w:tcPr>
            <w:tcW w:type="dxa" w:w="7060"/>
          </w:tcPr>
          <w:p>
            <w:pPr>
              <w:spacing w:after="40" w:line="247" w:lineRule="auto"/>
            </w:pPr>
            <w:r>
              <w:rPr>
                <w:rFonts w:ascii="Aptos" w:hAnsi="Aptos"/>
                <w:sz w:val="17"/>
              </w:rPr>
              <w:t>One modular HRM backend service with one operational HRM database.</w:t>
            </w:r>
          </w:p>
        </w:tc>
      </w:tr>
      <w:tr>
        <w:tc>
          <w:tcPr>
            <w:tcW w:type="dxa" w:w="2300"/>
            <w:shd w:fill="FAFCFD"/>
          </w:tcPr>
          <w:p>
            <w:pPr>
              <w:spacing w:after="40" w:line="247" w:lineRule="auto"/>
            </w:pPr>
            <w:r>
              <w:rPr>
                <w:rFonts w:ascii="Aptos" w:hAnsi="Aptos"/>
                <w:sz w:val="17"/>
              </w:rPr>
              <w:t>Configuration</w:t>
            </w:r>
          </w:p>
        </w:tc>
        <w:tc>
          <w:tcPr>
            <w:tcW w:type="dxa" w:w="7060"/>
            <w:shd w:fill="FAFCFD"/>
          </w:tcPr>
          <w:p>
            <w:pPr>
              <w:spacing w:after="40" w:line="247" w:lineRule="auto"/>
            </w:pPr>
            <w:r>
              <w:rPr>
                <w:rFonts w:ascii="Aptos" w:hAnsi="Aptos"/>
                <w:sz w:val="17"/>
              </w:rPr>
              <w:t>Universal HR core, Zambia country pack and organization policies.</w:t>
            </w:r>
          </w:p>
        </w:tc>
      </w:tr>
      <w:tr>
        <w:tc>
          <w:tcPr>
            <w:tcW w:type="dxa" w:w="2300"/>
          </w:tcPr>
          <w:p>
            <w:pPr>
              <w:spacing w:after="40" w:line="247" w:lineRule="auto"/>
            </w:pPr>
            <w:r>
              <w:rPr>
                <w:rFonts w:ascii="Aptos" w:hAnsi="Aptos"/>
                <w:sz w:val="17"/>
              </w:rPr>
              <w:t>Specification standard</w:t>
            </w:r>
          </w:p>
        </w:tc>
        <w:tc>
          <w:tcPr>
            <w:tcW w:type="dxa" w:w="7060"/>
          </w:tcPr>
          <w:p>
            <w:pPr>
              <w:spacing w:after="40" w:line="247" w:lineRule="auto"/>
            </w:pPr>
            <w:r>
              <w:rPr>
                <w:rFonts w:ascii="Aptos" w:hAnsi="Aptos"/>
                <w:sz w:val="17"/>
              </w:rPr>
              <w:t>Each child capability will later use the 28-section ERP Feature Specification Framework.</w:t>
            </w:r>
          </w:p>
        </w:tc>
      </w:tr>
      <w:tr>
        <w:tc>
          <w:tcPr>
            <w:tcW w:type="dxa" w:w="2300"/>
            <w:shd w:fill="FAFCFD"/>
          </w:tcPr>
          <w:p>
            <w:pPr>
              <w:spacing w:after="40" w:line="247" w:lineRule="auto"/>
            </w:pPr>
            <w:r>
              <w:rPr>
                <w:rFonts w:ascii="Aptos" w:hAnsi="Aptos"/>
                <w:sz w:val="17"/>
              </w:rPr>
              <w:t>Version</w:t>
            </w:r>
          </w:p>
        </w:tc>
        <w:tc>
          <w:tcPr>
            <w:tcW w:type="dxa" w:w="7060"/>
            <w:shd w:fill="FAFCFD"/>
          </w:tcPr>
          <w:p>
            <w:pPr>
              <w:spacing w:after="40" w:line="247" w:lineRule="auto"/>
            </w:pPr>
            <w:r>
              <w:rPr>
                <w:rFonts w:ascii="Aptos" w:hAnsi="Aptos"/>
                <w:sz w:val="17"/>
              </w:rPr>
              <w:t>1.0</w:t>
            </w:r>
          </w:p>
        </w:tc>
      </w:tr>
    </w:tbl>
    <w:p>
      <w:pPr>
        <w:spacing w:after="280"/>
      </w:pP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D9EAF7"/>
          </w:tcPr>
          <w:p>
            <w:pPr>
              <w:spacing w:after="40" w:line="247" w:lineRule="auto"/>
            </w:pPr>
            <w:r>
              <w:rPr>
                <w:rFonts w:ascii="Aptos" w:hAnsi="Aptos"/>
                <w:b/>
                <w:color w:val="17365D"/>
                <w:sz w:val="17"/>
              </w:rPr>
              <w:t xml:space="preserve">Catalogue rule: </w:t>
            </w:r>
            <w:r>
              <w:rPr>
                <w:rFonts w:ascii="Aptos" w:hAnsi="Aptos"/>
                <w:sz w:val="17"/>
              </w:rPr>
              <w:t>This document confirms product coverage. It does not replace detailed child-feature specifications, data models, API contracts, UI designs, technical architecture or test packs.</w:t>
            </w:r>
          </w:p>
        </w:tc>
      </w:tr>
    </w:tbl>
    <w:p>
      <w:pPr>
        <w:spacing w:after="0"/>
      </w:pPr>
    </w:p>
    <w:p>
      <w:r>
        <w:br w:type="page"/>
      </w:r>
    </w:p>
    <w:p>
      <w:pPr>
        <w:pStyle w:val="Heading1"/>
      </w:pPr>
      <w:r>
        <w:t>1. Product Scope and Organization</w:t>
      </w:r>
    </w:p>
    <w:p>
      <w:r>
        <w:t>The HRM module manages the complete workforce lifecycle while remaining one bounded, modular service inside the wider ERP. Features are grouped by business purpose so that users see a simple product even though the underlying capability is comprehensive.</w:t>
      </w:r>
    </w:p>
    <w:tbl>
      <w:tblPr>
        <w:tblStyle w:val="TableGrid"/>
        <w:tblW w:type="dxa" w:w="9360"/>
        <w:jc w:val="left"/>
        <w:tblLayout w:type="fixed"/>
        <w:tblLook w:firstColumn="1" w:firstRow="1" w:lastColumn="0" w:lastRow="0" w:noHBand="0" w:noVBand="1" w:val="04A0"/>
      </w:tblPr>
      <w:tblGrid>
        <w:gridCol w:w="7600"/>
        <w:gridCol w:w="1760"/>
      </w:tblGrid>
      <w:tr>
        <w:trPr>
          <w:tblHeader w:val="true"/>
        </w:trPr>
        <w:tc>
          <w:tcPr>
            <w:tcW w:type="dxa" w:w="7600"/>
            <w:tcMar>
              <w:top w:w="80" w:type="dxa"/>
              <w:start w:w="120" w:type="dxa"/>
              <w:bottom w:w="80" w:type="dxa"/>
              <w:end w:w="120" w:type="dxa"/>
            </w:tcMar>
            <w:vAlign w:val="center"/>
            <w:shd w:fill="1F4E78"/>
          </w:tcPr>
          <w:p>
            <w:pPr>
              <w:spacing w:after="40" w:line="247" w:lineRule="auto"/>
            </w:pPr>
            <w:r>
              <w:rPr>
                <w:rFonts w:ascii="Aptos" w:hAnsi="Aptos"/>
                <w:b/>
                <w:color w:val="FFFFFF"/>
                <w:sz w:val="17"/>
              </w:rPr>
              <w:t>Category</w:t>
            </w:r>
          </w:p>
        </w:tc>
        <w:tc>
          <w:tcPr>
            <w:tcW w:type="dxa" w:w="1760"/>
            <w:tcMar>
              <w:top w:w="80" w:type="dxa"/>
              <w:start w:w="120" w:type="dxa"/>
              <w:bottom w:w="80" w:type="dxa"/>
              <w:end w:w="120" w:type="dxa"/>
            </w:tcMar>
            <w:vAlign w:val="center"/>
            <w:shd w:fill="1F4E78"/>
          </w:tcPr>
          <w:p>
            <w:pPr>
              <w:spacing w:after="40" w:line="247" w:lineRule="auto"/>
            </w:pPr>
            <w:r>
              <w:rPr>
                <w:rFonts w:ascii="Aptos" w:hAnsi="Aptos"/>
                <w:b/>
                <w:color w:val="FFFFFF"/>
                <w:sz w:val="17"/>
              </w:rPr>
              <w:t>Parent features</w:t>
            </w:r>
          </w:p>
        </w:tc>
      </w:tr>
      <w:tr>
        <w:tc>
          <w:tcPr>
            <w:tcW w:type="dxa" w:w="7600"/>
          </w:tcPr>
          <w:p>
            <w:pPr>
              <w:spacing w:after="40" w:line="247" w:lineRule="auto"/>
            </w:pPr>
            <w:r>
              <w:rPr>
                <w:rFonts w:ascii="Aptos" w:hAnsi="Aptos"/>
                <w:sz w:val="17"/>
              </w:rPr>
              <w:t>A. Platform, Administration and Governance</w:t>
            </w:r>
          </w:p>
        </w:tc>
        <w:tc>
          <w:tcPr>
            <w:tcW w:type="dxa" w:w="1760"/>
          </w:tcPr>
          <w:p>
            <w:pPr>
              <w:spacing w:after="40" w:line="247" w:lineRule="auto"/>
            </w:pPr>
            <w:r>
              <w:rPr>
                <w:rFonts w:ascii="Aptos" w:hAnsi="Aptos"/>
                <w:sz w:val="17"/>
              </w:rPr>
              <w:t>12</w:t>
            </w:r>
          </w:p>
        </w:tc>
      </w:tr>
      <w:tr>
        <w:tc>
          <w:tcPr>
            <w:tcW w:type="dxa" w:w="7600"/>
            <w:shd w:fill="FAFCFD"/>
          </w:tcPr>
          <w:p>
            <w:pPr>
              <w:spacing w:after="40" w:line="247" w:lineRule="auto"/>
            </w:pPr>
            <w:r>
              <w:rPr>
                <w:rFonts w:ascii="Aptos" w:hAnsi="Aptos"/>
                <w:sz w:val="17"/>
              </w:rPr>
              <w:t>B. Workforce Structure, People and Employment</w:t>
            </w:r>
          </w:p>
        </w:tc>
        <w:tc>
          <w:tcPr>
            <w:tcW w:type="dxa" w:w="1760"/>
            <w:shd w:fill="FAFCFD"/>
          </w:tcPr>
          <w:p>
            <w:pPr>
              <w:spacing w:after="40" w:line="247" w:lineRule="auto"/>
            </w:pPr>
            <w:r>
              <w:rPr>
                <w:rFonts w:ascii="Aptos" w:hAnsi="Aptos"/>
                <w:sz w:val="17"/>
              </w:rPr>
              <w:t>7</w:t>
            </w:r>
          </w:p>
        </w:tc>
      </w:tr>
      <w:tr>
        <w:tc>
          <w:tcPr>
            <w:tcW w:type="dxa" w:w="7600"/>
          </w:tcPr>
          <w:p>
            <w:pPr>
              <w:spacing w:after="40" w:line="247" w:lineRule="auto"/>
            </w:pPr>
            <w:r>
              <w:rPr>
                <w:rFonts w:ascii="Aptos" w:hAnsi="Aptos"/>
                <w:sz w:val="17"/>
              </w:rPr>
              <w:t>C. Talent Acquisition and Joining</w:t>
            </w:r>
          </w:p>
        </w:tc>
        <w:tc>
          <w:tcPr>
            <w:tcW w:type="dxa" w:w="1760"/>
          </w:tcPr>
          <w:p>
            <w:pPr>
              <w:spacing w:after="40" w:line="247" w:lineRule="auto"/>
            </w:pPr>
            <w:r>
              <w:rPr>
                <w:rFonts w:ascii="Aptos" w:hAnsi="Aptos"/>
                <w:sz w:val="17"/>
              </w:rPr>
              <w:t>5</w:t>
            </w:r>
          </w:p>
        </w:tc>
      </w:tr>
      <w:tr>
        <w:tc>
          <w:tcPr>
            <w:tcW w:type="dxa" w:w="7600"/>
            <w:shd w:fill="FAFCFD"/>
          </w:tcPr>
          <w:p>
            <w:pPr>
              <w:spacing w:after="40" w:line="247" w:lineRule="auto"/>
            </w:pPr>
            <w:r>
              <w:rPr>
                <w:rFonts w:ascii="Aptos" w:hAnsi="Aptos"/>
                <w:sz w:val="17"/>
              </w:rPr>
              <w:t>D. Time, Scheduling and Workforce Operations</w:t>
            </w:r>
          </w:p>
        </w:tc>
        <w:tc>
          <w:tcPr>
            <w:tcW w:type="dxa" w:w="1760"/>
            <w:shd w:fill="FAFCFD"/>
          </w:tcPr>
          <w:p>
            <w:pPr>
              <w:spacing w:after="40" w:line="247" w:lineRule="auto"/>
            </w:pPr>
            <w:r>
              <w:rPr>
                <w:rFonts w:ascii="Aptos" w:hAnsi="Aptos"/>
                <w:sz w:val="17"/>
              </w:rPr>
              <w:t>8</w:t>
            </w:r>
          </w:p>
        </w:tc>
      </w:tr>
      <w:tr>
        <w:tc>
          <w:tcPr>
            <w:tcW w:type="dxa" w:w="7600"/>
          </w:tcPr>
          <w:p>
            <w:pPr>
              <w:spacing w:after="40" w:line="247" w:lineRule="auto"/>
            </w:pPr>
            <w:r>
              <w:rPr>
                <w:rFonts w:ascii="Aptos" w:hAnsi="Aptos"/>
                <w:sz w:val="17"/>
              </w:rPr>
              <w:t>E. Payroll, Compensation, Benefits and Rewards</w:t>
            </w:r>
          </w:p>
        </w:tc>
        <w:tc>
          <w:tcPr>
            <w:tcW w:type="dxa" w:w="1760"/>
          </w:tcPr>
          <w:p>
            <w:pPr>
              <w:spacing w:after="40" w:line="247" w:lineRule="auto"/>
            </w:pPr>
            <w:r>
              <w:rPr>
                <w:rFonts w:ascii="Aptos" w:hAnsi="Aptos"/>
                <w:sz w:val="17"/>
              </w:rPr>
              <w:t>5</w:t>
            </w:r>
          </w:p>
        </w:tc>
      </w:tr>
      <w:tr>
        <w:tc>
          <w:tcPr>
            <w:tcW w:type="dxa" w:w="7600"/>
            <w:shd w:fill="FAFCFD"/>
          </w:tcPr>
          <w:p>
            <w:pPr>
              <w:spacing w:after="40" w:line="247" w:lineRule="auto"/>
            </w:pPr>
            <w:r>
              <w:rPr>
                <w:rFonts w:ascii="Aptos" w:hAnsi="Aptos"/>
                <w:sz w:val="17"/>
              </w:rPr>
              <w:t>F. Performance, Learning, Skills and Talent</w:t>
            </w:r>
          </w:p>
        </w:tc>
        <w:tc>
          <w:tcPr>
            <w:tcW w:type="dxa" w:w="1760"/>
            <w:shd w:fill="FAFCFD"/>
          </w:tcPr>
          <w:p>
            <w:pPr>
              <w:spacing w:after="40" w:line="247" w:lineRule="auto"/>
            </w:pPr>
            <w:r>
              <w:rPr>
                <w:rFonts w:ascii="Aptos" w:hAnsi="Aptos"/>
                <w:sz w:val="17"/>
              </w:rPr>
              <w:t>4</w:t>
            </w:r>
          </w:p>
        </w:tc>
      </w:tr>
      <w:tr>
        <w:tc>
          <w:tcPr>
            <w:tcW w:type="dxa" w:w="7600"/>
          </w:tcPr>
          <w:p>
            <w:pPr>
              <w:spacing w:after="40" w:line="247" w:lineRule="auto"/>
            </w:pPr>
            <w:r>
              <w:rPr>
                <w:rFonts w:ascii="Aptos" w:hAnsi="Aptos"/>
                <w:sz w:val="17"/>
              </w:rPr>
              <w:t>G. Employee and Manager Experience</w:t>
            </w:r>
          </w:p>
        </w:tc>
        <w:tc>
          <w:tcPr>
            <w:tcW w:type="dxa" w:w="1760"/>
          </w:tcPr>
          <w:p>
            <w:pPr>
              <w:spacing w:after="40" w:line="247" w:lineRule="auto"/>
            </w:pPr>
            <w:r>
              <w:rPr>
                <w:rFonts w:ascii="Aptos" w:hAnsi="Aptos"/>
                <w:sz w:val="17"/>
              </w:rPr>
              <w:t>7</w:t>
            </w:r>
          </w:p>
        </w:tc>
      </w:tr>
      <w:tr>
        <w:tc>
          <w:tcPr>
            <w:tcW w:type="dxa" w:w="7600"/>
            <w:shd w:fill="FAFCFD"/>
          </w:tcPr>
          <w:p>
            <w:pPr>
              <w:spacing w:after="40" w:line="247" w:lineRule="auto"/>
            </w:pPr>
            <w:r>
              <w:rPr>
                <w:rFonts w:ascii="Aptos" w:hAnsi="Aptos"/>
                <w:sz w:val="17"/>
              </w:rPr>
              <w:t>H. Employee Relations, Safety, Ethics and Compliance</w:t>
            </w:r>
          </w:p>
        </w:tc>
        <w:tc>
          <w:tcPr>
            <w:tcW w:type="dxa" w:w="1760"/>
            <w:shd w:fill="FAFCFD"/>
          </w:tcPr>
          <w:p>
            <w:pPr>
              <w:spacing w:after="40" w:line="247" w:lineRule="auto"/>
            </w:pPr>
            <w:r>
              <w:rPr>
                <w:rFonts w:ascii="Aptos" w:hAnsi="Aptos"/>
                <w:sz w:val="17"/>
              </w:rPr>
              <w:t>7</w:t>
            </w:r>
          </w:p>
        </w:tc>
      </w:tr>
      <w:tr>
        <w:tc>
          <w:tcPr>
            <w:tcW w:type="dxa" w:w="7600"/>
          </w:tcPr>
          <w:p>
            <w:pPr>
              <w:spacing w:after="40" w:line="247" w:lineRule="auto"/>
            </w:pPr>
            <w:r>
              <w:rPr>
                <w:rFonts w:ascii="Aptos" w:hAnsi="Aptos"/>
                <w:sz w:val="17"/>
              </w:rPr>
              <w:t>I. Assets, Separation and Post-Employment</w:t>
            </w:r>
          </w:p>
        </w:tc>
        <w:tc>
          <w:tcPr>
            <w:tcW w:type="dxa" w:w="1760"/>
          </w:tcPr>
          <w:p>
            <w:pPr>
              <w:spacing w:after="40" w:line="247" w:lineRule="auto"/>
            </w:pPr>
            <w:r>
              <w:rPr>
                <w:rFonts w:ascii="Aptos" w:hAnsi="Aptos"/>
                <w:sz w:val="17"/>
              </w:rPr>
              <w:t>3</w:t>
            </w:r>
          </w:p>
        </w:tc>
      </w:tr>
    </w:tbl>
    <w:p>
      <w:pPr>
        <w:pStyle w:val="Heading2"/>
      </w:pPr>
      <w:r>
        <w:t>1.1 Capability tiers</w:t>
      </w:r>
    </w:p>
    <w:tbl>
      <w:tblPr>
        <w:tblStyle w:val="TableGrid"/>
        <w:tblW w:type="dxa" w:w="9360"/>
        <w:jc w:val="left"/>
        <w:tblLayout w:type="fixed"/>
        <w:tblLook w:firstColumn="1" w:firstRow="1" w:lastColumn="0" w:lastRow="0" w:noHBand="0" w:noVBand="1" w:val="04A0"/>
      </w:tblPr>
      <w:tblGrid>
        <w:gridCol w:w="2200"/>
        <w:gridCol w:w="7160"/>
      </w:tblGrid>
      <w:tr>
        <w:trPr>
          <w:tblHeader w:val="true"/>
        </w:trPr>
        <w:tc>
          <w:tcPr>
            <w:tcW w:type="dxa" w:w="2200"/>
            <w:tcMar>
              <w:top w:w="80" w:type="dxa"/>
              <w:start w:w="120" w:type="dxa"/>
              <w:bottom w:w="80" w:type="dxa"/>
              <w:end w:w="120" w:type="dxa"/>
            </w:tcMar>
            <w:vAlign w:val="center"/>
            <w:shd w:fill="1F4E78"/>
          </w:tcPr>
          <w:p>
            <w:pPr>
              <w:spacing w:after="40" w:line="247" w:lineRule="auto"/>
            </w:pPr>
            <w:r>
              <w:rPr>
                <w:rFonts w:ascii="Aptos" w:hAnsi="Aptos"/>
                <w:b/>
                <w:color w:val="FFFFFF"/>
                <w:sz w:val="17"/>
              </w:rPr>
              <w:t>Tier</w:t>
            </w:r>
          </w:p>
        </w:tc>
        <w:tc>
          <w:tcPr>
            <w:tcW w:type="dxa" w:w="7160"/>
            <w:tcMar>
              <w:top w:w="80" w:type="dxa"/>
              <w:start w:w="120" w:type="dxa"/>
              <w:bottom w:w="80" w:type="dxa"/>
              <w:end w:w="120" w:type="dxa"/>
            </w:tcMar>
            <w:vAlign w:val="center"/>
            <w:shd w:fill="1F4E78"/>
          </w:tcPr>
          <w:p>
            <w:pPr>
              <w:spacing w:after="40" w:line="247" w:lineRule="auto"/>
            </w:pPr>
            <w:r>
              <w:rPr>
                <w:rFonts w:ascii="Aptos" w:hAnsi="Aptos"/>
                <w:b/>
                <w:color w:val="FFFFFF"/>
                <w:sz w:val="17"/>
              </w:rPr>
              <w:t>Meaning</w:t>
            </w:r>
          </w:p>
        </w:tc>
      </w:tr>
      <w:tr>
        <w:tc>
          <w:tcPr>
            <w:tcW w:type="dxa" w:w="2200"/>
          </w:tcPr>
          <w:p>
            <w:pPr>
              <w:spacing w:after="40" w:line="247" w:lineRule="auto"/>
            </w:pPr>
            <w:r>
              <w:rPr>
                <w:rFonts w:ascii="Aptos" w:hAnsi="Aptos"/>
                <w:sz w:val="17"/>
              </w:rPr>
              <w:t>Essentials</w:t>
            </w:r>
          </w:p>
        </w:tc>
        <w:tc>
          <w:tcPr>
            <w:tcW w:type="dxa" w:w="7160"/>
          </w:tcPr>
          <w:p>
            <w:pPr>
              <w:spacing w:after="40" w:line="247" w:lineRule="auto"/>
            </w:pPr>
            <w:r>
              <w:rPr>
                <w:rFonts w:ascii="Aptos" w:hAnsi="Aptos"/>
                <w:sz w:val="17"/>
              </w:rPr>
              <w:t>Foundational capabilities for a usable Zambia-first HR and payroll implementation.</w:t>
            </w:r>
          </w:p>
        </w:tc>
      </w:tr>
      <w:tr>
        <w:tc>
          <w:tcPr>
            <w:tcW w:type="dxa" w:w="2200"/>
            <w:shd w:fill="FAFCFD"/>
          </w:tcPr>
          <w:p>
            <w:pPr>
              <w:spacing w:after="40" w:line="247" w:lineRule="auto"/>
            </w:pPr>
            <w:r>
              <w:rPr>
                <w:rFonts w:ascii="Aptos" w:hAnsi="Aptos"/>
                <w:sz w:val="17"/>
              </w:rPr>
              <w:t>Advanced</w:t>
            </w:r>
          </w:p>
        </w:tc>
        <w:tc>
          <w:tcPr>
            <w:tcW w:type="dxa" w:w="7160"/>
            <w:shd w:fill="FAFCFD"/>
          </w:tcPr>
          <w:p>
            <w:pPr>
              <w:spacing w:after="40" w:line="247" w:lineRule="auto"/>
            </w:pPr>
            <w:r>
              <w:rPr>
                <w:rFonts w:ascii="Aptos" w:hAnsi="Aptos"/>
                <w:sz w:val="17"/>
              </w:rPr>
              <w:t>Capabilities enabled as organizational maturity and operating needs increase.</w:t>
            </w:r>
          </w:p>
        </w:tc>
      </w:tr>
      <w:tr>
        <w:tc>
          <w:tcPr>
            <w:tcW w:type="dxa" w:w="2200"/>
          </w:tcPr>
          <w:p>
            <w:pPr>
              <w:spacing w:after="40" w:line="247" w:lineRule="auto"/>
            </w:pPr>
            <w:r>
              <w:rPr>
                <w:rFonts w:ascii="Aptos" w:hAnsi="Aptos"/>
                <w:sz w:val="17"/>
              </w:rPr>
              <w:t>Enterprise</w:t>
            </w:r>
          </w:p>
        </w:tc>
        <w:tc>
          <w:tcPr>
            <w:tcW w:type="dxa" w:w="7160"/>
          </w:tcPr>
          <w:p>
            <w:pPr>
              <w:spacing w:after="40" w:line="247" w:lineRule="auto"/>
            </w:pPr>
            <w:r>
              <w:rPr>
                <w:rFonts w:ascii="Aptos" w:hAnsi="Aptos"/>
                <w:sz w:val="17"/>
              </w:rPr>
              <w:t>Complex, regulated, high-scale or specialist capabilities activated when required.</w:t>
            </w:r>
          </w:p>
        </w:tc>
      </w:tr>
    </w:tbl>
    <w:p>
      <w:pPr>
        <w:pStyle w:val="Heading2"/>
      </w:pPr>
      <w:r>
        <w:t>1.2 Lifecycle coverage</w:t>
      </w:r>
    </w:p>
    <w:p>
      <w:pPr>
        <w:pStyle w:val="ListBullet"/>
      </w:pPr>
      <w:r>
        <w:t>Plan and structure the workforce</w:t>
      </w:r>
    </w:p>
    <w:p>
      <w:pPr>
        <w:pStyle w:val="ListBullet"/>
      </w:pPr>
      <w:r>
        <w:t>Recruit and select</w:t>
      </w:r>
    </w:p>
    <w:p>
      <w:pPr>
        <w:pStyle w:val="ListBullet"/>
      </w:pPr>
      <w:r>
        <w:t>Preboard and onboard</w:t>
      </w:r>
    </w:p>
    <w:p>
      <w:pPr>
        <w:pStyle w:val="ListBullet"/>
      </w:pPr>
      <w:r>
        <w:t>Employ, schedule, pay and support</w:t>
      </w:r>
    </w:p>
    <w:p>
      <w:pPr>
        <w:pStyle w:val="ListBullet"/>
      </w:pPr>
      <w:r>
        <w:t>Develop, engage and retain</w:t>
      </w:r>
    </w:p>
    <w:p>
      <w:pPr>
        <w:pStyle w:val="ListBullet"/>
      </w:pPr>
      <w:r>
        <w:t>Manage relations, safety and compliance</w:t>
      </w:r>
    </w:p>
    <w:p>
      <w:pPr>
        <w:pStyle w:val="ListBullet"/>
      </w:pPr>
      <w:r>
        <w:t>Separate, settle, archive and rehire</w:t>
      </w:r>
    </w:p>
    <w:p>
      <w:r>
        <w:br w:type="page"/>
      </w:r>
    </w:p>
    <w:p>
      <w:pPr>
        <w:pStyle w:val="Heading1"/>
      </w:pPr>
      <w:r>
        <w:t>2. Parent Feature Index</w:t>
      </w:r>
    </w:p>
    <w:tbl>
      <w:tblPr>
        <w:tblStyle w:val="TableGrid"/>
        <w:tblW w:type="dxa" w:w="9360"/>
        <w:jc w:val="left"/>
        <w:tblLayout w:type="fixed"/>
        <w:tblLook w:firstColumn="1" w:firstRow="1" w:lastColumn="0" w:lastRow="0" w:noHBand="0" w:noVBand="1" w:val="04A0"/>
      </w:tblPr>
      <w:tblGrid>
        <w:gridCol w:w="1150"/>
        <w:gridCol w:w="2350"/>
        <w:gridCol w:w="3700"/>
        <w:gridCol w:w="1300"/>
        <w:gridCol w:w="860"/>
      </w:tblGrid>
      <w:tr>
        <w:trPr>
          <w:tblHeader w:val="true"/>
        </w:trPr>
        <w:tc>
          <w:tcPr>
            <w:tcW w:type="dxa" w:w="1150"/>
            <w:tcMar>
              <w:top w:w="80" w:type="dxa"/>
              <w:start w:w="120" w:type="dxa"/>
              <w:bottom w:w="80" w:type="dxa"/>
              <w:end w:w="120" w:type="dxa"/>
            </w:tcMar>
            <w:vAlign w:val="center"/>
            <w:shd w:fill="1F4E78"/>
          </w:tcPr>
          <w:p>
            <w:pPr>
              <w:spacing w:after="40" w:line="247" w:lineRule="auto"/>
            </w:pPr>
            <w:r>
              <w:rPr>
                <w:rFonts w:ascii="Aptos" w:hAnsi="Aptos"/>
                <w:b/>
                <w:color w:val="FFFFFF"/>
                <w:sz w:val="17"/>
              </w:rPr>
              <w:t>ID</w:t>
            </w:r>
          </w:p>
        </w:tc>
        <w:tc>
          <w:tcPr>
            <w:tcW w:type="dxa" w:w="2350"/>
            <w:tcMar>
              <w:top w:w="80" w:type="dxa"/>
              <w:start w:w="120" w:type="dxa"/>
              <w:bottom w:w="80" w:type="dxa"/>
              <w:end w:w="120" w:type="dxa"/>
            </w:tcMar>
            <w:vAlign w:val="center"/>
            <w:shd w:fill="1F4E78"/>
          </w:tcPr>
          <w:p>
            <w:pPr>
              <w:spacing w:after="40" w:line="247" w:lineRule="auto"/>
            </w:pPr>
            <w:r>
              <w:rPr>
                <w:rFonts w:ascii="Aptos" w:hAnsi="Aptos"/>
                <w:b/>
                <w:color w:val="FFFFFF"/>
                <w:sz w:val="17"/>
              </w:rPr>
              <w:t>Category</w:t>
            </w:r>
          </w:p>
        </w:tc>
        <w:tc>
          <w:tcPr>
            <w:tcW w:type="dxa" w:w="3700"/>
            <w:tcMar>
              <w:top w:w="80" w:type="dxa"/>
              <w:start w:w="120" w:type="dxa"/>
              <w:bottom w:w="80" w:type="dxa"/>
              <w:end w:w="120" w:type="dxa"/>
            </w:tcMar>
            <w:vAlign w:val="center"/>
            <w:shd w:fill="1F4E78"/>
          </w:tcPr>
          <w:p>
            <w:pPr>
              <w:spacing w:after="40" w:line="247" w:lineRule="auto"/>
            </w:pPr>
            <w:r>
              <w:rPr>
                <w:rFonts w:ascii="Aptos" w:hAnsi="Aptos"/>
                <w:b/>
                <w:color w:val="FFFFFF"/>
                <w:sz w:val="17"/>
              </w:rPr>
              <w:t>Parent feature</w:t>
            </w:r>
          </w:p>
        </w:tc>
        <w:tc>
          <w:tcPr>
            <w:tcW w:type="dxa" w:w="1300"/>
            <w:tcMar>
              <w:top w:w="80" w:type="dxa"/>
              <w:start w:w="120" w:type="dxa"/>
              <w:bottom w:w="80" w:type="dxa"/>
              <w:end w:w="120" w:type="dxa"/>
            </w:tcMar>
            <w:vAlign w:val="center"/>
            <w:shd w:fill="1F4E78"/>
          </w:tcPr>
          <w:p>
            <w:pPr>
              <w:spacing w:after="40" w:line="247" w:lineRule="auto"/>
            </w:pPr>
            <w:r>
              <w:rPr>
                <w:rFonts w:ascii="Aptos" w:hAnsi="Aptos"/>
                <w:b/>
                <w:color w:val="FFFFFF"/>
                <w:sz w:val="17"/>
              </w:rPr>
              <w:t>Tier</w:t>
            </w:r>
          </w:p>
        </w:tc>
        <w:tc>
          <w:tcPr>
            <w:tcW w:type="dxa" w:w="860"/>
            <w:tcMar>
              <w:top w:w="80" w:type="dxa"/>
              <w:start w:w="120" w:type="dxa"/>
              <w:bottom w:w="80" w:type="dxa"/>
              <w:end w:w="120" w:type="dxa"/>
            </w:tcMar>
            <w:vAlign w:val="center"/>
            <w:shd w:fill="1F4E78"/>
          </w:tcPr>
          <w:p>
            <w:pPr>
              <w:spacing w:after="40" w:line="247" w:lineRule="auto"/>
            </w:pPr>
            <w:r>
              <w:rPr>
                <w:rFonts w:ascii="Aptos" w:hAnsi="Aptos"/>
                <w:b/>
                <w:color w:val="FFFFFF"/>
                <w:sz w:val="17"/>
              </w:rPr>
              <w:t>Children</w:t>
            </w:r>
          </w:p>
        </w:tc>
      </w:tr>
      <w:tr>
        <w:tc>
          <w:tcPr>
            <w:tcW w:type="dxa" w:w="1150"/>
          </w:tcPr>
          <w:p>
            <w:pPr>
              <w:spacing w:after="40" w:line="247" w:lineRule="auto"/>
            </w:pPr>
            <w:r>
              <w:rPr>
                <w:rFonts w:ascii="Aptos" w:hAnsi="Aptos"/>
                <w:sz w:val="17"/>
              </w:rPr>
              <w:t>HRM-001</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HR Dashboard and Work Centre</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12</w:t>
            </w:r>
          </w:p>
        </w:tc>
      </w:tr>
      <w:tr>
        <w:tc>
          <w:tcPr>
            <w:tcW w:type="dxa" w:w="1150"/>
            <w:shd w:fill="FAFCFD"/>
          </w:tcPr>
          <w:p>
            <w:pPr>
              <w:spacing w:after="40" w:line="247" w:lineRule="auto"/>
            </w:pPr>
            <w:r>
              <w:rPr>
                <w:rFonts w:ascii="Aptos" w:hAnsi="Aptos"/>
                <w:sz w:val="17"/>
              </w:rPr>
              <w:t>HRM-002</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Organization Management</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16</w:t>
            </w:r>
          </w:p>
        </w:tc>
      </w:tr>
      <w:tr>
        <w:tc>
          <w:tcPr>
            <w:tcW w:type="dxa" w:w="1150"/>
          </w:tcPr>
          <w:p>
            <w:pPr>
              <w:spacing w:after="40" w:line="247" w:lineRule="auto"/>
            </w:pPr>
            <w:r>
              <w:rPr>
                <w:rFonts w:ascii="Aptos" w:hAnsi="Aptos"/>
                <w:sz w:val="17"/>
              </w:rPr>
              <w:t>HRM-003</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HR Security and Permission Management</w:t>
            </w:r>
          </w:p>
        </w:tc>
        <w:tc>
          <w:tcPr>
            <w:tcW w:type="dxa" w:w="1300"/>
          </w:tcPr>
          <w:p>
            <w:pPr>
              <w:spacing w:after="40" w:line="247" w:lineRule="auto"/>
            </w:pPr>
            <w:r>
              <w:rPr>
                <w:rFonts w:ascii="Aptos" w:hAnsi="Aptos"/>
                <w:sz w:val="17"/>
              </w:rPr>
              <w:t>Essentials</w:t>
            </w:r>
          </w:p>
        </w:tc>
        <w:tc>
          <w:tcPr>
            <w:tcW w:type="dxa" w:w="860"/>
          </w:tcPr>
          <w:p>
            <w:r>
              <w:t>17</w:t>
            </w:r>
          </w:p>
        </w:tc>
      </w:tr>
      <w:tr>
        <w:tc>
          <w:tcPr>
            <w:tcW w:type="dxa" w:w="1150"/>
            <w:shd w:fill="FAFCFD"/>
          </w:tcPr>
          <w:p>
            <w:pPr>
              <w:spacing w:after="40" w:line="247" w:lineRule="auto"/>
            </w:pPr>
            <w:r>
              <w:rPr>
                <w:rFonts w:ascii="Aptos" w:hAnsi="Aptos"/>
                <w:sz w:val="17"/>
              </w:rPr>
              <w:t>HRM-004</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HR Configuration and Policy Engine</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14</w:t>
            </w:r>
          </w:p>
        </w:tc>
      </w:tr>
      <w:tr>
        <w:tc>
          <w:tcPr>
            <w:tcW w:type="dxa" w:w="1150"/>
          </w:tcPr>
          <w:p>
            <w:pPr>
              <w:spacing w:after="40" w:line="247" w:lineRule="auto"/>
            </w:pPr>
            <w:r>
              <w:rPr>
                <w:rFonts w:ascii="Aptos" w:hAnsi="Aptos"/>
                <w:sz w:val="17"/>
              </w:rPr>
              <w:t>HRM-005</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Workflow, Approvals and Delegation</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14</w:t>
            </w:r>
          </w:p>
        </w:tc>
      </w:tr>
      <w:tr>
        <w:tc>
          <w:tcPr>
            <w:tcW w:type="dxa" w:w="1150"/>
            <w:shd w:fill="FAFCFD"/>
          </w:tcPr>
          <w:p>
            <w:pPr>
              <w:spacing w:after="40" w:line="247" w:lineRule="auto"/>
            </w:pPr>
            <w:r>
              <w:rPr>
                <w:rFonts w:ascii="Aptos" w:hAnsi="Aptos"/>
                <w:sz w:val="17"/>
              </w:rPr>
              <w:t>HRM-006</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HR Documents and Digital Employee Files</w:t>
            </w:r>
          </w:p>
        </w:tc>
        <w:tc>
          <w:tcPr>
            <w:tcW w:type="dxa" w:w="1300"/>
            <w:shd w:fill="FAFCFD"/>
          </w:tcPr>
          <w:p>
            <w:pPr>
              <w:spacing w:after="40" w:line="247" w:lineRule="auto"/>
            </w:pPr>
            <w:r>
              <w:rPr>
                <w:rFonts w:ascii="Aptos" w:hAnsi="Aptos"/>
                <w:sz w:val="17"/>
              </w:rPr>
              <w:t>Essentials</w:t>
            </w:r>
          </w:p>
        </w:tc>
        <w:tc>
          <w:tcPr>
            <w:tcW w:type="dxa" w:w="860"/>
            <w:shd w:fill="FAFCFD"/>
          </w:tcPr>
          <w:p>
            <w:r>
              <w:t>15</w:t>
            </w:r>
          </w:p>
        </w:tc>
      </w:tr>
      <w:tr>
        <w:tc>
          <w:tcPr>
            <w:tcW w:type="dxa" w:w="1150"/>
          </w:tcPr>
          <w:p>
            <w:pPr>
              <w:spacing w:after="40" w:line="247" w:lineRule="auto"/>
            </w:pPr>
            <w:r>
              <w:rPr>
                <w:rFonts w:ascii="Aptos" w:hAnsi="Aptos"/>
                <w:sz w:val="17"/>
              </w:rPr>
              <w:t>HRM-007</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Notifications, Tasks and HR Calendar</w:t>
            </w:r>
          </w:p>
        </w:tc>
        <w:tc>
          <w:tcPr>
            <w:tcW w:type="dxa" w:w="1300"/>
          </w:tcPr>
          <w:p>
            <w:pPr>
              <w:spacing w:after="40" w:line="247" w:lineRule="auto"/>
            </w:pPr>
            <w:r>
              <w:rPr>
                <w:rFonts w:ascii="Aptos" w:hAnsi="Aptos"/>
                <w:sz w:val="17"/>
              </w:rPr>
              <w:t>Essentials</w:t>
            </w:r>
          </w:p>
        </w:tc>
        <w:tc>
          <w:tcPr>
            <w:tcW w:type="dxa" w:w="860"/>
          </w:tcPr>
          <w:p>
            <w:r>
              <w:t>14</w:t>
            </w:r>
          </w:p>
        </w:tc>
      </w:tr>
      <w:tr>
        <w:tc>
          <w:tcPr>
            <w:tcW w:type="dxa" w:w="1150"/>
            <w:shd w:fill="FAFCFD"/>
          </w:tcPr>
          <w:p>
            <w:pPr>
              <w:spacing w:after="40" w:line="247" w:lineRule="auto"/>
            </w:pPr>
            <w:r>
              <w:rPr>
                <w:rFonts w:ascii="Aptos" w:hAnsi="Aptos"/>
                <w:sz w:val="17"/>
              </w:rPr>
              <w:t>HRM-008</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HR Reporting and Workforce Analytics</w:t>
            </w:r>
          </w:p>
        </w:tc>
        <w:tc>
          <w:tcPr>
            <w:tcW w:type="dxa" w:w="1300"/>
            <w:shd w:fill="FAFCFD"/>
          </w:tcPr>
          <w:p>
            <w:pPr>
              <w:spacing w:after="40" w:line="247" w:lineRule="auto"/>
            </w:pPr>
            <w:r>
              <w:rPr>
                <w:rFonts w:ascii="Aptos" w:hAnsi="Aptos"/>
                <w:sz w:val="17"/>
              </w:rPr>
              <w:t>Essentials</w:t>
            </w:r>
          </w:p>
        </w:tc>
        <w:tc>
          <w:tcPr>
            <w:tcW w:type="dxa" w:w="860"/>
            <w:shd w:fill="FAFCFD"/>
          </w:tcPr>
          <w:p>
            <w:r>
              <w:t>18</w:t>
            </w:r>
          </w:p>
        </w:tc>
      </w:tr>
      <w:tr>
        <w:tc>
          <w:tcPr>
            <w:tcW w:type="dxa" w:w="1150"/>
          </w:tcPr>
          <w:p>
            <w:pPr>
              <w:spacing w:after="40" w:line="247" w:lineRule="auto"/>
            </w:pPr>
            <w:r>
              <w:rPr>
                <w:rFonts w:ascii="Aptos" w:hAnsi="Aptos"/>
                <w:sz w:val="17"/>
              </w:rPr>
              <w:t>HRM-009</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HR Integrations, APIs, Events and Sandbox</w:t>
            </w:r>
          </w:p>
        </w:tc>
        <w:tc>
          <w:tcPr>
            <w:tcW w:type="dxa" w:w="1300"/>
          </w:tcPr>
          <w:p>
            <w:pPr>
              <w:spacing w:after="40" w:line="247" w:lineRule="auto"/>
            </w:pPr>
            <w:r>
              <w:rPr>
                <w:rFonts w:ascii="Aptos" w:hAnsi="Aptos"/>
                <w:sz w:val="17"/>
              </w:rPr>
              <w:t>Essentials</w:t>
            </w:r>
          </w:p>
        </w:tc>
        <w:tc>
          <w:tcPr>
            <w:tcW w:type="dxa" w:w="860"/>
          </w:tcPr>
          <w:p>
            <w:r>
              <w:t>20</w:t>
            </w:r>
          </w:p>
        </w:tc>
      </w:tr>
      <w:tr>
        <w:tc>
          <w:tcPr>
            <w:tcW w:type="dxa" w:w="1150"/>
            <w:shd w:fill="FAFCFD"/>
          </w:tcPr>
          <w:p>
            <w:pPr>
              <w:spacing w:after="40" w:line="247" w:lineRule="auto"/>
            </w:pPr>
            <w:r>
              <w:rPr>
                <w:rFonts w:ascii="Aptos" w:hAnsi="Aptos"/>
                <w:sz w:val="17"/>
              </w:rPr>
              <w:t>HRM-010</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Mobile and Field Workforce Support</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12</w:t>
            </w:r>
          </w:p>
        </w:tc>
      </w:tr>
      <w:tr>
        <w:tc>
          <w:tcPr>
            <w:tcW w:type="dxa" w:w="1150"/>
          </w:tcPr>
          <w:p>
            <w:pPr>
              <w:spacing w:after="40" w:line="247" w:lineRule="auto"/>
            </w:pPr>
            <w:r>
              <w:rPr>
                <w:rFonts w:ascii="Aptos" w:hAnsi="Aptos"/>
                <w:sz w:val="17"/>
              </w:rPr>
              <w:t>HRM-011</w:t>
            </w:r>
          </w:p>
        </w:tc>
        <w:tc>
          <w:tcPr>
            <w:tcW w:type="dxa" w:w="2350"/>
          </w:tcPr>
          <w:p>
            <w:pPr>
              <w:spacing w:after="40" w:line="247" w:lineRule="auto"/>
            </w:pPr>
            <w:r>
              <w:rPr>
                <w:rFonts w:ascii="Aptos" w:hAnsi="Aptos"/>
                <w:sz w:val="17"/>
              </w:rPr>
              <w:t>Platform, Administration and Governance</w:t>
            </w:r>
          </w:p>
        </w:tc>
        <w:tc>
          <w:tcPr>
            <w:tcW w:type="dxa" w:w="3700"/>
          </w:tcPr>
          <w:p>
            <w:pPr>
              <w:spacing w:after="40" w:line="247" w:lineRule="auto"/>
            </w:pPr>
            <w:r>
              <w:rPr>
                <w:rFonts w:ascii="Aptos" w:hAnsi="Aptos"/>
                <w:sz w:val="17"/>
              </w:rPr>
              <w:t>HR Data Quality and Stewardship</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13</w:t>
            </w:r>
          </w:p>
        </w:tc>
      </w:tr>
      <w:tr>
        <w:tc>
          <w:tcPr>
            <w:tcW w:type="dxa" w:w="1150"/>
            <w:shd w:fill="FAFCFD"/>
          </w:tcPr>
          <w:p>
            <w:pPr>
              <w:spacing w:after="40" w:line="247" w:lineRule="auto"/>
            </w:pPr>
            <w:r>
              <w:rPr>
                <w:rFonts w:ascii="Aptos" w:hAnsi="Aptos"/>
                <w:sz w:val="17"/>
              </w:rPr>
              <w:t>HRM-012</w:t>
            </w:r>
          </w:p>
        </w:tc>
        <w:tc>
          <w:tcPr>
            <w:tcW w:type="dxa" w:w="2350"/>
            <w:shd w:fill="FAFCFD"/>
          </w:tcPr>
          <w:p>
            <w:pPr>
              <w:spacing w:after="40" w:line="247" w:lineRule="auto"/>
            </w:pPr>
            <w:r>
              <w:rPr>
                <w:rFonts w:ascii="Aptos" w:hAnsi="Aptos"/>
                <w:sz w:val="17"/>
              </w:rPr>
              <w:t>Platform, Administration and Governance</w:t>
            </w:r>
          </w:p>
        </w:tc>
        <w:tc>
          <w:tcPr>
            <w:tcW w:type="dxa" w:w="3700"/>
            <w:shd w:fill="FAFCFD"/>
          </w:tcPr>
          <w:p>
            <w:pPr>
              <w:spacing w:after="40" w:line="247" w:lineRule="auto"/>
            </w:pPr>
            <w:r>
              <w:rPr>
                <w:rFonts w:ascii="Aptos" w:hAnsi="Aptos"/>
                <w:sz w:val="17"/>
              </w:rPr>
              <w:t>Flexible Forms and HR Process Builder</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14</w:t>
            </w:r>
          </w:p>
        </w:tc>
      </w:tr>
      <w:tr>
        <w:tc>
          <w:tcPr>
            <w:tcW w:type="dxa" w:w="1150"/>
          </w:tcPr>
          <w:p>
            <w:pPr>
              <w:spacing w:after="40" w:line="247" w:lineRule="auto"/>
            </w:pPr>
            <w:r>
              <w:rPr>
                <w:rFonts w:ascii="Aptos" w:hAnsi="Aptos"/>
                <w:sz w:val="17"/>
              </w:rPr>
              <w:t>HRM-013</w:t>
            </w:r>
          </w:p>
        </w:tc>
        <w:tc>
          <w:tcPr>
            <w:tcW w:type="dxa" w:w="2350"/>
          </w:tcPr>
          <w:p>
            <w:pPr>
              <w:spacing w:after="40" w:line="247" w:lineRule="auto"/>
            </w:pPr>
            <w:r>
              <w:rPr>
                <w:rFonts w:ascii="Aptos" w:hAnsi="Aptos"/>
                <w:sz w:val="17"/>
              </w:rPr>
              <w:t>Workforce Structure, People and Employment</w:t>
            </w:r>
          </w:p>
        </w:tc>
        <w:tc>
          <w:tcPr>
            <w:tcW w:type="dxa" w:w="3700"/>
          </w:tcPr>
          <w:p>
            <w:pPr>
              <w:spacing w:after="40" w:line="247" w:lineRule="auto"/>
            </w:pPr>
            <w:r>
              <w:rPr>
                <w:rFonts w:ascii="Aptos" w:hAnsi="Aptos"/>
                <w:sz w:val="17"/>
              </w:rPr>
              <w:t>Job and Position Management</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15</w:t>
            </w:r>
          </w:p>
        </w:tc>
      </w:tr>
      <w:tr>
        <w:tc>
          <w:tcPr>
            <w:tcW w:type="dxa" w:w="1150"/>
            <w:shd w:fill="FAFCFD"/>
          </w:tcPr>
          <w:p>
            <w:pPr>
              <w:spacing w:after="40" w:line="247" w:lineRule="auto"/>
            </w:pPr>
            <w:r>
              <w:rPr>
                <w:rFonts w:ascii="Aptos" w:hAnsi="Aptos"/>
                <w:sz w:val="17"/>
              </w:rPr>
              <w:t>HRM-014</w:t>
            </w:r>
          </w:p>
        </w:tc>
        <w:tc>
          <w:tcPr>
            <w:tcW w:type="dxa" w:w="2350"/>
            <w:shd w:fill="FAFCFD"/>
          </w:tcPr>
          <w:p>
            <w:pPr>
              <w:spacing w:after="40" w:line="247" w:lineRule="auto"/>
            </w:pPr>
            <w:r>
              <w:rPr>
                <w:rFonts w:ascii="Aptos" w:hAnsi="Aptos"/>
                <w:sz w:val="17"/>
              </w:rPr>
              <w:t>Workforce Structure, People and Employment</w:t>
            </w:r>
          </w:p>
        </w:tc>
        <w:tc>
          <w:tcPr>
            <w:tcW w:type="dxa" w:w="3700"/>
            <w:shd w:fill="FAFCFD"/>
          </w:tcPr>
          <w:p>
            <w:pPr>
              <w:spacing w:after="40" w:line="247" w:lineRule="auto"/>
            </w:pPr>
            <w:r>
              <w:rPr>
                <w:rFonts w:ascii="Aptos" w:hAnsi="Aptos"/>
                <w:sz w:val="17"/>
              </w:rPr>
              <w:t>Workforce Planning and Establishment Control</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15</w:t>
            </w:r>
          </w:p>
        </w:tc>
      </w:tr>
      <w:tr>
        <w:tc>
          <w:tcPr>
            <w:tcW w:type="dxa" w:w="1150"/>
          </w:tcPr>
          <w:p>
            <w:pPr>
              <w:spacing w:after="40" w:line="247" w:lineRule="auto"/>
            </w:pPr>
            <w:r>
              <w:rPr>
                <w:rFonts w:ascii="Aptos" w:hAnsi="Aptos"/>
                <w:sz w:val="17"/>
              </w:rPr>
              <w:t>HRM-015</w:t>
            </w:r>
          </w:p>
        </w:tc>
        <w:tc>
          <w:tcPr>
            <w:tcW w:type="dxa" w:w="2350"/>
          </w:tcPr>
          <w:p>
            <w:pPr>
              <w:spacing w:after="40" w:line="247" w:lineRule="auto"/>
            </w:pPr>
            <w:r>
              <w:rPr>
                <w:rFonts w:ascii="Aptos" w:hAnsi="Aptos"/>
                <w:sz w:val="17"/>
              </w:rPr>
              <w:t>Workforce Structure, People and Employment</w:t>
            </w:r>
          </w:p>
        </w:tc>
        <w:tc>
          <w:tcPr>
            <w:tcW w:type="dxa" w:w="3700"/>
          </w:tcPr>
          <w:p>
            <w:pPr>
              <w:spacing w:after="40" w:line="247" w:lineRule="auto"/>
            </w:pPr>
            <w:r>
              <w:rPr>
                <w:rFonts w:ascii="Aptos" w:hAnsi="Aptos"/>
                <w:sz w:val="17"/>
              </w:rPr>
              <w:t>People and Worker Records</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19</w:t>
            </w:r>
          </w:p>
        </w:tc>
      </w:tr>
      <w:tr>
        <w:tc>
          <w:tcPr>
            <w:tcW w:type="dxa" w:w="1150"/>
            <w:shd w:fill="FAFCFD"/>
          </w:tcPr>
          <w:p>
            <w:pPr>
              <w:spacing w:after="40" w:line="247" w:lineRule="auto"/>
            </w:pPr>
            <w:r>
              <w:rPr>
                <w:rFonts w:ascii="Aptos" w:hAnsi="Aptos"/>
                <w:sz w:val="17"/>
              </w:rPr>
              <w:t>HRM-016</w:t>
            </w:r>
          </w:p>
        </w:tc>
        <w:tc>
          <w:tcPr>
            <w:tcW w:type="dxa" w:w="2350"/>
            <w:shd w:fill="FAFCFD"/>
          </w:tcPr>
          <w:p>
            <w:pPr>
              <w:spacing w:after="40" w:line="247" w:lineRule="auto"/>
            </w:pPr>
            <w:r>
              <w:rPr>
                <w:rFonts w:ascii="Aptos" w:hAnsi="Aptos"/>
                <w:sz w:val="17"/>
              </w:rPr>
              <w:t>Workforce Structure, People and Employment</w:t>
            </w:r>
          </w:p>
        </w:tc>
        <w:tc>
          <w:tcPr>
            <w:tcW w:type="dxa" w:w="3700"/>
            <w:shd w:fill="FAFCFD"/>
          </w:tcPr>
          <w:p>
            <w:pPr>
              <w:spacing w:after="40" w:line="247" w:lineRule="auto"/>
            </w:pPr>
            <w:r>
              <w:rPr>
                <w:rFonts w:ascii="Aptos" w:hAnsi="Aptos"/>
                <w:sz w:val="17"/>
              </w:rPr>
              <w:t>Employment and Contract Management</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14</w:t>
            </w:r>
          </w:p>
        </w:tc>
      </w:tr>
      <w:tr>
        <w:tc>
          <w:tcPr>
            <w:tcW w:type="dxa" w:w="1150"/>
          </w:tcPr>
          <w:p>
            <w:pPr>
              <w:spacing w:after="40" w:line="247" w:lineRule="auto"/>
            </w:pPr>
            <w:r>
              <w:rPr>
                <w:rFonts w:ascii="Aptos" w:hAnsi="Aptos"/>
                <w:sz w:val="17"/>
              </w:rPr>
              <w:t>HRM-017</w:t>
            </w:r>
          </w:p>
        </w:tc>
        <w:tc>
          <w:tcPr>
            <w:tcW w:type="dxa" w:w="2350"/>
          </w:tcPr>
          <w:p>
            <w:pPr>
              <w:spacing w:after="40" w:line="247" w:lineRule="auto"/>
            </w:pPr>
            <w:r>
              <w:rPr>
                <w:rFonts w:ascii="Aptos" w:hAnsi="Aptos"/>
                <w:sz w:val="17"/>
              </w:rPr>
              <w:t>Workforce Structure, People and Employment</w:t>
            </w:r>
          </w:p>
        </w:tc>
        <w:tc>
          <w:tcPr>
            <w:tcW w:type="dxa" w:w="3700"/>
          </w:tcPr>
          <w:p>
            <w:pPr>
              <w:spacing w:after="40" w:line="247" w:lineRule="auto"/>
            </w:pPr>
            <w:r>
              <w:rPr>
                <w:rFonts w:ascii="Aptos" w:hAnsi="Aptos"/>
                <w:sz w:val="17"/>
              </w:rPr>
              <w:t>Employee Movement and Career Changes</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16</w:t>
            </w:r>
          </w:p>
        </w:tc>
      </w:tr>
      <w:tr>
        <w:tc>
          <w:tcPr>
            <w:tcW w:type="dxa" w:w="1150"/>
            <w:shd w:fill="FAFCFD"/>
          </w:tcPr>
          <w:p>
            <w:pPr>
              <w:spacing w:after="40" w:line="247" w:lineRule="auto"/>
            </w:pPr>
            <w:r>
              <w:rPr>
                <w:rFonts w:ascii="Aptos" w:hAnsi="Aptos"/>
                <w:sz w:val="17"/>
              </w:rPr>
              <w:t>HRM-018</w:t>
            </w:r>
          </w:p>
        </w:tc>
        <w:tc>
          <w:tcPr>
            <w:tcW w:type="dxa" w:w="2350"/>
            <w:shd w:fill="FAFCFD"/>
          </w:tcPr>
          <w:p>
            <w:pPr>
              <w:spacing w:after="40" w:line="247" w:lineRule="auto"/>
            </w:pPr>
            <w:r>
              <w:rPr>
                <w:rFonts w:ascii="Aptos" w:hAnsi="Aptos"/>
                <w:sz w:val="17"/>
              </w:rPr>
              <w:t>Workforce Structure, People and Employment</w:t>
            </w:r>
          </w:p>
        </w:tc>
        <w:tc>
          <w:tcPr>
            <w:tcW w:type="dxa" w:w="3700"/>
            <w:shd w:fill="FAFCFD"/>
          </w:tcPr>
          <w:p>
            <w:pPr>
              <w:spacing w:after="40" w:line="247" w:lineRule="auto"/>
            </w:pPr>
            <w:r>
              <w:rPr>
                <w:rFonts w:ascii="Aptos" w:hAnsi="Aptos"/>
                <w:sz w:val="17"/>
              </w:rPr>
              <w:t>Contingent and External Workforce Management</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13</w:t>
            </w:r>
          </w:p>
        </w:tc>
      </w:tr>
      <w:tr>
        <w:tc>
          <w:tcPr>
            <w:tcW w:type="dxa" w:w="1150"/>
          </w:tcPr>
          <w:p>
            <w:pPr>
              <w:spacing w:after="40" w:line="247" w:lineRule="auto"/>
            </w:pPr>
            <w:r>
              <w:rPr>
                <w:rFonts w:ascii="Aptos" w:hAnsi="Aptos"/>
                <w:sz w:val="17"/>
              </w:rPr>
              <w:t>HRM-019</w:t>
            </w:r>
          </w:p>
        </w:tc>
        <w:tc>
          <w:tcPr>
            <w:tcW w:type="dxa" w:w="2350"/>
          </w:tcPr>
          <w:p>
            <w:pPr>
              <w:spacing w:after="40" w:line="247" w:lineRule="auto"/>
            </w:pPr>
            <w:r>
              <w:rPr>
                <w:rFonts w:ascii="Aptos" w:hAnsi="Aptos"/>
                <w:sz w:val="17"/>
              </w:rPr>
              <w:t>Workforce Structure, People and Employment</w:t>
            </w:r>
          </w:p>
        </w:tc>
        <w:tc>
          <w:tcPr>
            <w:tcW w:type="dxa" w:w="3700"/>
          </w:tcPr>
          <w:p>
            <w:pPr>
              <w:spacing w:after="40" w:line="247" w:lineRule="auto"/>
            </w:pPr>
            <w:r>
              <w:rPr>
                <w:rFonts w:ascii="Aptos" w:hAnsi="Aptos"/>
                <w:sz w:val="17"/>
              </w:rPr>
              <w:t>Global Mobility and International Assignments</w:t>
            </w:r>
          </w:p>
        </w:tc>
        <w:tc>
          <w:tcPr>
            <w:tcW w:type="dxa" w:w="1300"/>
          </w:tcPr>
          <w:p>
            <w:pPr>
              <w:spacing w:after="40" w:line="247" w:lineRule="auto"/>
            </w:pPr>
            <w:r>
              <w:rPr>
                <w:rFonts w:ascii="Aptos" w:hAnsi="Aptos"/>
                <w:sz w:val="17"/>
              </w:rPr>
              <w:t>Enterprise</w:t>
            </w:r>
          </w:p>
        </w:tc>
        <w:tc>
          <w:tcPr>
            <w:tcW w:type="dxa" w:w="860"/>
          </w:tcPr>
          <w:p>
            <w:pPr>
              <w:spacing w:after="40" w:line="247" w:lineRule="auto"/>
            </w:pPr>
            <w:r>
              <w:rPr>
                <w:rFonts w:ascii="Aptos" w:hAnsi="Aptos"/>
                <w:sz w:val="17"/>
              </w:rPr>
              <w:t>15</w:t>
            </w:r>
          </w:p>
        </w:tc>
      </w:tr>
      <w:tr>
        <w:tc>
          <w:tcPr>
            <w:tcW w:type="dxa" w:w="1150"/>
            <w:shd w:fill="FAFCFD"/>
          </w:tcPr>
          <w:p>
            <w:pPr>
              <w:spacing w:after="40" w:line="247" w:lineRule="auto"/>
            </w:pPr>
            <w:r>
              <w:rPr>
                <w:rFonts w:ascii="Aptos" w:hAnsi="Aptos"/>
                <w:sz w:val="17"/>
              </w:rPr>
              <w:t>HRM-020</w:t>
            </w:r>
          </w:p>
        </w:tc>
        <w:tc>
          <w:tcPr>
            <w:tcW w:type="dxa" w:w="2350"/>
            <w:shd w:fill="FAFCFD"/>
          </w:tcPr>
          <w:p>
            <w:pPr>
              <w:spacing w:after="40" w:line="247" w:lineRule="auto"/>
            </w:pPr>
            <w:r>
              <w:rPr>
                <w:rFonts w:ascii="Aptos" w:hAnsi="Aptos"/>
                <w:sz w:val="17"/>
              </w:rPr>
              <w:t>Talent Acquisition and Joining</w:t>
            </w:r>
          </w:p>
        </w:tc>
        <w:tc>
          <w:tcPr>
            <w:tcW w:type="dxa" w:w="3700"/>
            <w:shd w:fill="FAFCFD"/>
          </w:tcPr>
          <w:p>
            <w:pPr>
              <w:spacing w:after="40" w:line="247" w:lineRule="auto"/>
            </w:pPr>
            <w:r>
              <w:rPr>
                <w:rFonts w:ascii="Aptos" w:hAnsi="Aptos"/>
                <w:sz w:val="17"/>
              </w:rPr>
              <w:t>Recruitment and Applicant Tracking</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18</w:t>
            </w:r>
          </w:p>
        </w:tc>
      </w:tr>
      <w:tr>
        <w:tc>
          <w:tcPr>
            <w:tcW w:type="dxa" w:w="1150"/>
          </w:tcPr>
          <w:p>
            <w:pPr>
              <w:spacing w:after="40" w:line="247" w:lineRule="auto"/>
            </w:pPr>
            <w:r>
              <w:rPr>
                <w:rFonts w:ascii="Aptos" w:hAnsi="Aptos"/>
                <w:sz w:val="17"/>
              </w:rPr>
              <w:t>HRM-021</w:t>
            </w:r>
          </w:p>
        </w:tc>
        <w:tc>
          <w:tcPr>
            <w:tcW w:type="dxa" w:w="2350"/>
          </w:tcPr>
          <w:p>
            <w:pPr>
              <w:spacing w:after="40" w:line="247" w:lineRule="auto"/>
            </w:pPr>
            <w:r>
              <w:rPr>
                <w:rFonts w:ascii="Aptos" w:hAnsi="Aptos"/>
                <w:sz w:val="17"/>
              </w:rPr>
              <w:t>Talent Acquisition and Joining</w:t>
            </w:r>
          </w:p>
        </w:tc>
        <w:tc>
          <w:tcPr>
            <w:tcW w:type="dxa" w:w="3700"/>
          </w:tcPr>
          <w:p>
            <w:pPr>
              <w:spacing w:after="40" w:line="247" w:lineRule="auto"/>
            </w:pPr>
            <w:r>
              <w:rPr>
                <w:rFonts w:ascii="Aptos" w:hAnsi="Aptos"/>
                <w:sz w:val="17"/>
              </w:rPr>
              <w:t>Employee Referral Management</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10</w:t>
            </w:r>
          </w:p>
        </w:tc>
      </w:tr>
      <w:tr>
        <w:tc>
          <w:tcPr>
            <w:tcW w:type="dxa" w:w="1150"/>
            <w:shd w:fill="FAFCFD"/>
          </w:tcPr>
          <w:p>
            <w:pPr>
              <w:spacing w:after="40" w:line="247" w:lineRule="auto"/>
            </w:pPr>
            <w:r>
              <w:rPr>
                <w:rFonts w:ascii="Aptos" w:hAnsi="Aptos"/>
                <w:sz w:val="17"/>
              </w:rPr>
              <w:t>HRM-022</w:t>
            </w:r>
          </w:p>
        </w:tc>
        <w:tc>
          <w:tcPr>
            <w:tcW w:type="dxa" w:w="2350"/>
            <w:shd w:fill="FAFCFD"/>
          </w:tcPr>
          <w:p>
            <w:pPr>
              <w:spacing w:after="40" w:line="247" w:lineRule="auto"/>
            </w:pPr>
            <w:r>
              <w:rPr>
                <w:rFonts w:ascii="Aptos" w:hAnsi="Aptos"/>
                <w:sz w:val="17"/>
              </w:rPr>
              <w:t>Talent Acquisition and Joining</w:t>
            </w:r>
          </w:p>
        </w:tc>
        <w:tc>
          <w:tcPr>
            <w:tcW w:type="dxa" w:w="3700"/>
            <w:shd w:fill="FAFCFD"/>
          </w:tcPr>
          <w:p>
            <w:pPr>
              <w:spacing w:after="40" w:line="247" w:lineRule="auto"/>
            </w:pPr>
            <w:r>
              <w:rPr>
                <w:rFonts w:ascii="Aptos" w:hAnsi="Aptos"/>
                <w:sz w:val="17"/>
              </w:rPr>
              <w:t>Preboarding</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13</w:t>
            </w:r>
          </w:p>
        </w:tc>
      </w:tr>
      <w:tr>
        <w:tc>
          <w:tcPr>
            <w:tcW w:type="dxa" w:w="1150"/>
          </w:tcPr>
          <w:p>
            <w:pPr>
              <w:spacing w:after="40" w:line="247" w:lineRule="auto"/>
            </w:pPr>
            <w:r>
              <w:rPr>
                <w:rFonts w:ascii="Aptos" w:hAnsi="Aptos"/>
                <w:sz w:val="17"/>
              </w:rPr>
              <w:t>HRM-023</w:t>
            </w:r>
          </w:p>
        </w:tc>
        <w:tc>
          <w:tcPr>
            <w:tcW w:type="dxa" w:w="2350"/>
          </w:tcPr>
          <w:p>
            <w:pPr>
              <w:spacing w:after="40" w:line="247" w:lineRule="auto"/>
            </w:pPr>
            <w:r>
              <w:rPr>
                <w:rFonts w:ascii="Aptos" w:hAnsi="Aptos"/>
                <w:sz w:val="17"/>
              </w:rPr>
              <w:t>Talent Acquisition and Joining</w:t>
            </w:r>
          </w:p>
        </w:tc>
        <w:tc>
          <w:tcPr>
            <w:tcW w:type="dxa" w:w="3700"/>
          </w:tcPr>
          <w:p>
            <w:pPr>
              <w:spacing w:after="40" w:line="247" w:lineRule="auto"/>
            </w:pPr>
            <w:r>
              <w:rPr>
                <w:rFonts w:ascii="Aptos" w:hAnsi="Aptos"/>
                <w:sz w:val="17"/>
              </w:rPr>
              <w:t>Onboarding</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13</w:t>
            </w:r>
          </w:p>
        </w:tc>
      </w:tr>
      <w:tr>
        <w:tc>
          <w:tcPr>
            <w:tcW w:type="dxa" w:w="1150"/>
            <w:shd w:fill="FAFCFD"/>
          </w:tcPr>
          <w:p>
            <w:pPr>
              <w:spacing w:after="40" w:line="247" w:lineRule="auto"/>
            </w:pPr>
            <w:r>
              <w:rPr>
                <w:rFonts w:ascii="Aptos" w:hAnsi="Aptos"/>
                <w:sz w:val="17"/>
              </w:rPr>
              <w:t>HRM-024</w:t>
            </w:r>
          </w:p>
        </w:tc>
        <w:tc>
          <w:tcPr>
            <w:tcW w:type="dxa" w:w="2350"/>
            <w:shd w:fill="FAFCFD"/>
          </w:tcPr>
          <w:p>
            <w:pPr>
              <w:spacing w:after="40" w:line="247" w:lineRule="auto"/>
            </w:pPr>
            <w:r>
              <w:rPr>
                <w:rFonts w:ascii="Aptos" w:hAnsi="Aptos"/>
                <w:sz w:val="17"/>
              </w:rPr>
              <w:t>Talent Acquisition and Joining</w:t>
            </w:r>
          </w:p>
        </w:tc>
        <w:tc>
          <w:tcPr>
            <w:tcW w:type="dxa" w:w="3700"/>
            <w:shd w:fill="FAFCFD"/>
          </w:tcPr>
          <w:p>
            <w:pPr>
              <w:spacing w:after="40" w:line="247" w:lineRule="auto"/>
            </w:pPr>
            <w:r>
              <w:rPr>
                <w:rFonts w:ascii="Aptos" w:hAnsi="Aptos"/>
                <w:sz w:val="17"/>
              </w:rPr>
              <w:t>Employee Journeys and Life Events</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12</w:t>
            </w:r>
          </w:p>
        </w:tc>
      </w:tr>
      <w:tr>
        <w:tc>
          <w:tcPr>
            <w:tcW w:type="dxa" w:w="1150"/>
          </w:tcPr>
          <w:p>
            <w:pPr>
              <w:spacing w:after="40" w:line="247" w:lineRule="auto"/>
            </w:pPr>
            <w:r>
              <w:rPr>
                <w:rFonts w:ascii="Aptos" w:hAnsi="Aptos"/>
                <w:sz w:val="17"/>
              </w:rPr>
              <w:t>HRM-025</w:t>
            </w:r>
          </w:p>
        </w:tc>
        <w:tc>
          <w:tcPr>
            <w:tcW w:type="dxa" w:w="2350"/>
          </w:tcPr>
          <w:p>
            <w:pPr>
              <w:spacing w:after="40" w:line="247" w:lineRule="auto"/>
            </w:pPr>
            <w:r>
              <w:rPr>
                <w:rFonts w:ascii="Aptos" w:hAnsi="Aptos"/>
                <w:sz w:val="17"/>
              </w:rPr>
              <w:t>Time, Scheduling and Workforce Operations</w:t>
            </w:r>
          </w:p>
        </w:tc>
        <w:tc>
          <w:tcPr>
            <w:tcW w:type="dxa" w:w="3700"/>
          </w:tcPr>
          <w:p>
            <w:pPr>
              <w:spacing w:after="40" w:line="247" w:lineRule="auto"/>
            </w:pPr>
            <w:r>
              <w:rPr>
                <w:rFonts w:ascii="Aptos" w:hAnsi="Aptos"/>
                <w:sz w:val="17"/>
              </w:rPr>
              <w:t>Time and Attendance Management</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16</w:t>
            </w:r>
          </w:p>
        </w:tc>
      </w:tr>
      <w:tr>
        <w:tc>
          <w:tcPr>
            <w:tcW w:type="dxa" w:w="1150"/>
            <w:shd w:fill="FAFCFD"/>
          </w:tcPr>
          <w:p>
            <w:pPr>
              <w:spacing w:after="40" w:line="247" w:lineRule="auto"/>
            </w:pPr>
            <w:r>
              <w:rPr>
                <w:rFonts w:ascii="Aptos" w:hAnsi="Aptos"/>
                <w:sz w:val="17"/>
              </w:rPr>
              <w:t>HRM-026</w:t>
            </w:r>
          </w:p>
        </w:tc>
        <w:tc>
          <w:tcPr>
            <w:tcW w:type="dxa" w:w="2350"/>
            <w:shd w:fill="FAFCFD"/>
          </w:tcPr>
          <w:p>
            <w:pPr>
              <w:spacing w:after="40" w:line="247" w:lineRule="auto"/>
            </w:pPr>
            <w:r>
              <w:rPr>
                <w:rFonts w:ascii="Aptos" w:hAnsi="Aptos"/>
                <w:sz w:val="17"/>
              </w:rPr>
              <w:t>Time, Scheduling and Workforce Operations</w:t>
            </w:r>
          </w:p>
        </w:tc>
        <w:tc>
          <w:tcPr>
            <w:tcW w:type="dxa" w:w="3700"/>
            <w:shd w:fill="FAFCFD"/>
          </w:tcPr>
          <w:p>
            <w:pPr>
              <w:spacing w:after="40" w:line="247" w:lineRule="auto"/>
            </w:pPr>
            <w:r>
              <w:rPr>
                <w:rFonts w:ascii="Aptos" w:hAnsi="Aptos"/>
                <w:sz w:val="17"/>
              </w:rPr>
              <w:t>Advanced Workforce Scheduling and Labour Optimization</w:t>
            </w:r>
          </w:p>
        </w:tc>
        <w:tc>
          <w:tcPr>
            <w:tcW w:type="dxa" w:w="1300"/>
            <w:shd w:fill="FAFCFD"/>
          </w:tcPr>
          <w:p>
            <w:pPr>
              <w:spacing w:after="40" w:line="247" w:lineRule="auto"/>
            </w:pPr>
            <w:r>
              <w:rPr>
                <w:rFonts w:ascii="Aptos" w:hAnsi="Aptos"/>
                <w:sz w:val="17"/>
              </w:rPr>
              <w:t>Enterprise</w:t>
            </w:r>
          </w:p>
        </w:tc>
        <w:tc>
          <w:tcPr>
            <w:tcW w:type="dxa" w:w="860"/>
            <w:shd w:fill="FAFCFD"/>
          </w:tcPr>
          <w:p>
            <w:pPr>
              <w:spacing w:after="40" w:line="247" w:lineRule="auto"/>
            </w:pPr>
            <w:r>
              <w:rPr>
                <w:rFonts w:ascii="Aptos" w:hAnsi="Aptos"/>
                <w:sz w:val="17"/>
              </w:rPr>
              <w:t>17</w:t>
            </w:r>
          </w:p>
        </w:tc>
      </w:tr>
      <w:tr>
        <w:tc>
          <w:tcPr>
            <w:tcW w:type="dxa" w:w="1150"/>
          </w:tcPr>
          <w:p>
            <w:pPr>
              <w:spacing w:after="40" w:line="247" w:lineRule="auto"/>
            </w:pPr>
            <w:r>
              <w:rPr>
                <w:rFonts w:ascii="Aptos" w:hAnsi="Aptos"/>
                <w:sz w:val="17"/>
              </w:rPr>
              <w:t>HRM-027</w:t>
            </w:r>
          </w:p>
        </w:tc>
        <w:tc>
          <w:tcPr>
            <w:tcW w:type="dxa" w:w="2350"/>
          </w:tcPr>
          <w:p>
            <w:pPr>
              <w:spacing w:after="40" w:line="247" w:lineRule="auto"/>
            </w:pPr>
            <w:r>
              <w:rPr>
                <w:rFonts w:ascii="Aptos" w:hAnsi="Aptos"/>
                <w:sz w:val="17"/>
              </w:rPr>
              <w:t>Time, Scheduling and Workforce Operations</w:t>
            </w:r>
          </w:p>
        </w:tc>
        <w:tc>
          <w:tcPr>
            <w:tcW w:type="dxa" w:w="3700"/>
          </w:tcPr>
          <w:p>
            <w:pPr>
              <w:spacing w:after="40" w:line="247" w:lineRule="auto"/>
            </w:pPr>
            <w:r>
              <w:rPr>
                <w:rFonts w:ascii="Aptos" w:hAnsi="Aptos"/>
                <w:sz w:val="17"/>
              </w:rPr>
              <w:t>Leave and Absence Management</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16</w:t>
            </w:r>
          </w:p>
        </w:tc>
      </w:tr>
      <w:tr>
        <w:tc>
          <w:tcPr>
            <w:tcW w:type="dxa" w:w="1150"/>
            <w:shd w:fill="FAFCFD"/>
          </w:tcPr>
          <w:p>
            <w:pPr>
              <w:spacing w:after="40" w:line="247" w:lineRule="auto"/>
            </w:pPr>
            <w:r>
              <w:rPr>
                <w:rFonts w:ascii="Aptos" w:hAnsi="Aptos"/>
                <w:sz w:val="17"/>
              </w:rPr>
              <w:t>HRM-028</w:t>
            </w:r>
          </w:p>
        </w:tc>
        <w:tc>
          <w:tcPr>
            <w:tcW w:type="dxa" w:w="2350"/>
            <w:shd w:fill="FAFCFD"/>
          </w:tcPr>
          <w:p>
            <w:pPr>
              <w:spacing w:after="40" w:line="247" w:lineRule="auto"/>
            </w:pPr>
            <w:r>
              <w:rPr>
                <w:rFonts w:ascii="Aptos" w:hAnsi="Aptos"/>
                <w:sz w:val="17"/>
              </w:rPr>
              <w:t>Time, Scheduling and Workforce Operations</w:t>
            </w:r>
          </w:p>
        </w:tc>
        <w:tc>
          <w:tcPr>
            <w:tcW w:type="dxa" w:w="3700"/>
            <w:shd w:fill="FAFCFD"/>
          </w:tcPr>
          <w:p>
            <w:pPr>
              <w:spacing w:after="40" w:line="247" w:lineRule="auto"/>
            </w:pPr>
            <w:r>
              <w:rPr>
                <w:rFonts w:ascii="Aptos" w:hAnsi="Aptos"/>
                <w:sz w:val="17"/>
              </w:rPr>
              <w:t>Compensatory Time and Time Off in Lieu</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10</w:t>
            </w:r>
          </w:p>
        </w:tc>
      </w:tr>
      <w:tr>
        <w:tc>
          <w:tcPr>
            <w:tcW w:type="dxa" w:w="1150"/>
          </w:tcPr>
          <w:p>
            <w:pPr>
              <w:spacing w:after="40" w:line="247" w:lineRule="auto"/>
            </w:pPr>
            <w:r>
              <w:rPr>
                <w:rFonts w:ascii="Aptos" w:hAnsi="Aptos"/>
                <w:sz w:val="17"/>
              </w:rPr>
              <w:t>HRM-029</w:t>
            </w:r>
          </w:p>
        </w:tc>
        <w:tc>
          <w:tcPr>
            <w:tcW w:type="dxa" w:w="2350"/>
          </w:tcPr>
          <w:p>
            <w:pPr>
              <w:spacing w:after="40" w:line="247" w:lineRule="auto"/>
            </w:pPr>
            <w:r>
              <w:rPr>
                <w:rFonts w:ascii="Aptos" w:hAnsi="Aptos"/>
                <w:sz w:val="17"/>
              </w:rPr>
              <w:t>Time, Scheduling and Workforce Operations</w:t>
            </w:r>
          </w:p>
        </w:tc>
        <w:tc>
          <w:tcPr>
            <w:tcW w:type="dxa" w:w="3700"/>
          </w:tcPr>
          <w:p>
            <w:pPr>
              <w:spacing w:after="40" w:line="247" w:lineRule="auto"/>
            </w:pPr>
            <w:r>
              <w:rPr>
                <w:rFonts w:ascii="Aptos" w:hAnsi="Aptos"/>
                <w:sz w:val="17"/>
              </w:rPr>
              <w:t>Attendance Regularization</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11</w:t>
            </w:r>
          </w:p>
        </w:tc>
      </w:tr>
      <w:tr>
        <w:tc>
          <w:tcPr>
            <w:tcW w:type="dxa" w:w="1150"/>
            <w:shd w:fill="FAFCFD"/>
          </w:tcPr>
          <w:p>
            <w:pPr>
              <w:spacing w:after="40" w:line="247" w:lineRule="auto"/>
            </w:pPr>
            <w:r>
              <w:rPr>
                <w:rFonts w:ascii="Aptos" w:hAnsi="Aptos"/>
                <w:sz w:val="17"/>
              </w:rPr>
              <w:t>HRM-030</w:t>
            </w:r>
          </w:p>
        </w:tc>
        <w:tc>
          <w:tcPr>
            <w:tcW w:type="dxa" w:w="2350"/>
            <w:shd w:fill="FAFCFD"/>
          </w:tcPr>
          <w:p>
            <w:pPr>
              <w:spacing w:after="40" w:line="247" w:lineRule="auto"/>
            </w:pPr>
            <w:r>
              <w:rPr>
                <w:rFonts w:ascii="Aptos" w:hAnsi="Aptos"/>
                <w:sz w:val="17"/>
              </w:rPr>
              <w:t>Time, Scheduling and Workforce Operations</w:t>
            </w:r>
          </w:p>
        </w:tc>
        <w:tc>
          <w:tcPr>
            <w:tcW w:type="dxa" w:w="3700"/>
            <w:shd w:fill="FAFCFD"/>
          </w:tcPr>
          <w:p>
            <w:pPr>
              <w:spacing w:after="40" w:line="247" w:lineRule="auto"/>
            </w:pPr>
            <w:r>
              <w:rPr>
                <w:rFonts w:ascii="Aptos" w:hAnsi="Aptos"/>
                <w:sz w:val="17"/>
              </w:rPr>
              <w:t>Workforce Projects and Timesheet Costing</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10</w:t>
            </w:r>
          </w:p>
        </w:tc>
      </w:tr>
      <w:tr>
        <w:tc>
          <w:tcPr>
            <w:tcW w:type="dxa" w:w="1150"/>
          </w:tcPr>
          <w:p>
            <w:pPr>
              <w:spacing w:after="40" w:line="247" w:lineRule="auto"/>
            </w:pPr>
            <w:r>
              <w:rPr>
                <w:rFonts w:ascii="Aptos" w:hAnsi="Aptos"/>
                <w:sz w:val="17"/>
              </w:rPr>
              <w:t>HRM-031</w:t>
            </w:r>
          </w:p>
        </w:tc>
        <w:tc>
          <w:tcPr>
            <w:tcW w:type="dxa" w:w="2350"/>
          </w:tcPr>
          <w:p>
            <w:pPr>
              <w:spacing w:after="40" w:line="247" w:lineRule="auto"/>
            </w:pPr>
            <w:r>
              <w:rPr>
                <w:rFonts w:ascii="Aptos" w:hAnsi="Aptos"/>
                <w:sz w:val="17"/>
              </w:rPr>
              <w:t>Time, Scheduling and Workforce Operations</w:t>
            </w:r>
          </w:p>
        </w:tc>
        <w:tc>
          <w:tcPr>
            <w:tcW w:type="dxa" w:w="3700"/>
          </w:tcPr>
          <w:p>
            <w:pPr>
              <w:spacing w:after="40" w:line="247" w:lineRule="auto"/>
            </w:pPr>
            <w:r>
              <w:rPr>
                <w:rFonts w:ascii="Aptos" w:hAnsi="Aptos"/>
                <w:sz w:val="17"/>
              </w:rPr>
              <w:t>Travel and Duty Management</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13</w:t>
            </w:r>
          </w:p>
        </w:tc>
      </w:tr>
      <w:tr>
        <w:tc>
          <w:tcPr>
            <w:tcW w:type="dxa" w:w="1150"/>
            <w:shd w:fill="FAFCFD"/>
          </w:tcPr>
          <w:p>
            <w:pPr>
              <w:spacing w:after="40" w:line="247" w:lineRule="auto"/>
            </w:pPr>
            <w:r>
              <w:rPr>
                <w:rFonts w:ascii="Aptos" w:hAnsi="Aptos"/>
                <w:sz w:val="17"/>
              </w:rPr>
              <w:t>HRM-032</w:t>
            </w:r>
          </w:p>
        </w:tc>
        <w:tc>
          <w:tcPr>
            <w:tcW w:type="dxa" w:w="2350"/>
            <w:shd w:fill="FAFCFD"/>
          </w:tcPr>
          <w:p>
            <w:pPr>
              <w:spacing w:after="40" w:line="247" w:lineRule="auto"/>
            </w:pPr>
            <w:r>
              <w:rPr>
                <w:rFonts w:ascii="Aptos" w:hAnsi="Aptos"/>
                <w:sz w:val="17"/>
              </w:rPr>
              <w:t>Time, Scheduling and Workforce Operations</w:t>
            </w:r>
          </w:p>
        </w:tc>
        <w:tc>
          <w:tcPr>
            <w:tcW w:type="dxa" w:w="3700"/>
            <w:shd w:fill="FAFCFD"/>
          </w:tcPr>
          <w:p>
            <w:pPr>
              <w:spacing w:after="40" w:line="247" w:lineRule="auto"/>
            </w:pPr>
            <w:r>
              <w:rPr>
                <w:rFonts w:ascii="Aptos" w:hAnsi="Aptos"/>
                <w:sz w:val="17"/>
              </w:rPr>
              <w:t>Employee Expenses and Advances</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14</w:t>
            </w:r>
          </w:p>
        </w:tc>
      </w:tr>
      <w:tr>
        <w:tc>
          <w:tcPr>
            <w:tcW w:type="dxa" w:w="1150"/>
          </w:tcPr>
          <w:p>
            <w:pPr>
              <w:spacing w:after="40" w:line="247" w:lineRule="auto"/>
            </w:pPr>
            <w:r>
              <w:rPr>
                <w:rFonts w:ascii="Aptos" w:hAnsi="Aptos"/>
                <w:sz w:val="17"/>
              </w:rPr>
              <w:t>HRM-033</w:t>
            </w:r>
          </w:p>
        </w:tc>
        <w:tc>
          <w:tcPr>
            <w:tcW w:type="dxa" w:w="2350"/>
          </w:tcPr>
          <w:p>
            <w:pPr>
              <w:spacing w:after="40" w:line="247" w:lineRule="auto"/>
            </w:pPr>
            <w:r>
              <w:rPr>
                <w:rFonts w:ascii="Aptos" w:hAnsi="Aptos"/>
                <w:sz w:val="17"/>
              </w:rPr>
              <w:t>Payroll, Compensation, Benefits and Rewards</w:t>
            </w:r>
          </w:p>
        </w:tc>
        <w:tc>
          <w:tcPr>
            <w:tcW w:type="dxa" w:w="3700"/>
          </w:tcPr>
          <w:p>
            <w:pPr>
              <w:spacing w:after="40" w:line="247" w:lineRule="auto"/>
            </w:pPr>
            <w:r>
              <w:rPr>
                <w:rFonts w:ascii="Aptos" w:hAnsi="Aptos"/>
                <w:sz w:val="17"/>
              </w:rPr>
              <w:t>Payroll Management</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23</w:t>
            </w:r>
          </w:p>
        </w:tc>
      </w:tr>
      <w:tr>
        <w:tc>
          <w:tcPr>
            <w:tcW w:type="dxa" w:w="1150"/>
            <w:shd w:fill="FAFCFD"/>
          </w:tcPr>
          <w:p>
            <w:pPr>
              <w:spacing w:after="40" w:line="247" w:lineRule="auto"/>
            </w:pPr>
            <w:r>
              <w:rPr>
                <w:rFonts w:ascii="Aptos" w:hAnsi="Aptos"/>
                <w:sz w:val="17"/>
              </w:rPr>
              <w:t>HRM-034</w:t>
            </w:r>
          </w:p>
        </w:tc>
        <w:tc>
          <w:tcPr>
            <w:tcW w:type="dxa" w:w="2350"/>
            <w:shd w:fill="FAFCFD"/>
          </w:tcPr>
          <w:p>
            <w:pPr>
              <w:spacing w:after="40" w:line="247" w:lineRule="auto"/>
            </w:pPr>
            <w:r>
              <w:rPr>
                <w:rFonts w:ascii="Aptos" w:hAnsi="Aptos"/>
                <w:sz w:val="17"/>
              </w:rPr>
              <w:t>Payroll, Compensation, Benefits and Rewards</w:t>
            </w:r>
          </w:p>
        </w:tc>
        <w:tc>
          <w:tcPr>
            <w:tcW w:type="dxa" w:w="3700"/>
            <w:shd w:fill="FAFCFD"/>
          </w:tcPr>
          <w:p>
            <w:pPr>
              <w:spacing w:after="40" w:line="247" w:lineRule="auto"/>
            </w:pPr>
            <w:r>
              <w:rPr>
                <w:rFonts w:ascii="Aptos" w:hAnsi="Aptos"/>
                <w:sz w:val="17"/>
              </w:rPr>
              <w:t>Compensation and Benefits Administration</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10</w:t>
            </w:r>
          </w:p>
        </w:tc>
      </w:tr>
      <w:tr>
        <w:tc>
          <w:tcPr>
            <w:tcW w:type="dxa" w:w="1150"/>
          </w:tcPr>
          <w:p>
            <w:pPr>
              <w:spacing w:after="40" w:line="247" w:lineRule="auto"/>
            </w:pPr>
            <w:r>
              <w:rPr>
                <w:rFonts w:ascii="Aptos" w:hAnsi="Aptos"/>
                <w:sz w:val="17"/>
              </w:rPr>
              <w:t>HRM-035</w:t>
            </w:r>
          </w:p>
        </w:tc>
        <w:tc>
          <w:tcPr>
            <w:tcW w:type="dxa" w:w="2350"/>
          </w:tcPr>
          <w:p>
            <w:pPr>
              <w:spacing w:after="40" w:line="247" w:lineRule="auto"/>
            </w:pPr>
            <w:r>
              <w:rPr>
                <w:rFonts w:ascii="Aptos" w:hAnsi="Aptos"/>
                <w:sz w:val="17"/>
              </w:rPr>
              <w:t>Payroll, Compensation, Benefits and Rewards</w:t>
            </w:r>
          </w:p>
        </w:tc>
        <w:tc>
          <w:tcPr>
            <w:tcW w:type="dxa" w:w="3700"/>
          </w:tcPr>
          <w:p>
            <w:pPr>
              <w:spacing w:after="40" w:line="247" w:lineRule="auto"/>
            </w:pPr>
            <w:r>
              <w:rPr>
                <w:rFonts w:ascii="Aptos" w:hAnsi="Aptos"/>
                <w:sz w:val="17"/>
              </w:rPr>
              <w:t>Compensation Planning and Total Rewards</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14</w:t>
            </w:r>
          </w:p>
        </w:tc>
      </w:tr>
      <w:tr>
        <w:tc>
          <w:tcPr>
            <w:tcW w:type="dxa" w:w="1150"/>
            <w:shd w:fill="FAFCFD"/>
          </w:tcPr>
          <w:p>
            <w:pPr>
              <w:spacing w:after="40" w:line="247" w:lineRule="auto"/>
            </w:pPr>
            <w:r>
              <w:rPr>
                <w:rFonts w:ascii="Aptos" w:hAnsi="Aptos"/>
                <w:sz w:val="17"/>
              </w:rPr>
              <w:t>HRM-036</w:t>
            </w:r>
          </w:p>
        </w:tc>
        <w:tc>
          <w:tcPr>
            <w:tcW w:type="dxa" w:w="2350"/>
            <w:shd w:fill="FAFCFD"/>
          </w:tcPr>
          <w:p>
            <w:pPr>
              <w:spacing w:after="40" w:line="247" w:lineRule="auto"/>
            </w:pPr>
            <w:r>
              <w:rPr>
                <w:rFonts w:ascii="Aptos" w:hAnsi="Aptos"/>
                <w:sz w:val="17"/>
              </w:rPr>
              <w:t>Payroll, Compensation, Benefits and Rewards</w:t>
            </w:r>
          </w:p>
        </w:tc>
        <w:tc>
          <w:tcPr>
            <w:tcW w:type="dxa" w:w="3700"/>
            <w:shd w:fill="FAFCFD"/>
          </w:tcPr>
          <w:p>
            <w:pPr>
              <w:spacing w:after="40" w:line="247" w:lineRule="auto"/>
            </w:pPr>
            <w:r>
              <w:rPr>
                <w:rFonts w:ascii="Aptos" w:hAnsi="Aptos"/>
                <w:sz w:val="17"/>
              </w:rPr>
              <w:t>Full Benefits Administration</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16</w:t>
            </w:r>
          </w:p>
        </w:tc>
      </w:tr>
      <w:tr>
        <w:tc>
          <w:tcPr>
            <w:tcW w:type="dxa" w:w="1150"/>
          </w:tcPr>
          <w:p>
            <w:pPr>
              <w:spacing w:after="40" w:line="247" w:lineRule="auto"/>
            </w:pPr>
            <w:r>
              <w:rPr>
                <w:rFonts w:ascii="Aptos" w:hAnsi="Aptos"/>
                <w:sz w:val="17"/>
              </w:rPr>
              <w:t>HRM-037</w:t>
            </w:r>
          </w:p>
        </w:tc>
        <w:tc>
          <w:tcPr>
            <w:tcW w:type="dxa" w:w="2350"/>
          </w:tcPr>
          <w:p>
            <w:pPr>
              <w:spacing w:after="40" w:line="247" w:lineRule="auto"/>
            </w:pPr>
            <w:r>
              <w:rPr>
                <w:rFonts w:ascii="Aptos" w:hAnsi="Aptos"/>
                <w:sz w:val="17"/>
              </w:rPr>
              <w:t>Payroll, Compensation, Benefits and Rewards</w:t>
            </w:r>
          </w:p>
        </w:tc>
        <w:tc>
          <w:tcPr>
            <w:tcW w:type="dxa" w:w="3700"/>
          </w:tcPr>
          <w:p>
            <w:pPr>
              <w:spacing w:after="40" w:line="247" w:lineRule="auto"/>
            </w:pPr>
            <w:r>
              <w:rPr>
                <w:rFonts w:ascii="Aptos" w:hAnsi="Aptos"/>
                <w:sz w:val="17"/>
              </w:rPr>
              <w:t>Employee Insurance and Claims Administration</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11</w:t>
            </w:r>
          </w:p>
        </w:tc>
      </w:tr>
      <w:tr>
        <w:tc>
          <w:tcPr>
            <w:tcW w:type="dxa" w:w="1150"/>
            <w:shd w:fill="FAFCFD"/>
          </w:tcPr>
          <w:p>
            <w:pPr>
              <w:spacing w:after="40" w:line="247" w:lineRule="auto"/>
            </w:pPr>
            <w:r>
              <w:rPr>
                <w:rFonts w:ascii="Aptos" w:hAnsi="Aptos"/>
                <w:sz w:val="17"/>
              </w:rPr>
              <w:t>HRM-038</w:t>
            </w:r>
          </w:p>
        </w:tc>
        <w:tc>
          <w:tcPr>
            <w:tcW w:type="dxa" w:w="2350"/>
            <w:shd w:fill="FAFCFD"/>
          </w:tcPr>
          <w:p>
            <w:pPr>
              <w:spacing w:after="40" w:line="247" w:lineRule="auto"/>
            </w:pPr>
            <w:r>
              <w:rPr>
                <w:rFonts w:ascii="Aptos" w:hAnsi="Aptos"/>
                <w:sz w:val="17"/>
              </w:rPr>
              <w:t>Performance, Learning, Skills and Talent</w:t>
            </w:r>
          </w:p>
        </w:tc>
        <w:tc>
          <w:tcPr>
            <w:tcW w:type="dxa" w:w="3700"/>
            <w:shd w:fill="FAFCFD"/>
          </w:tcPr>
          <w:p>
            <w:pPr>
              <w:spacing w:after="40" w:line="247" w:lineRule="auto"/>
            </w:pPr>
            <w:r>
              <w:rPr>
                <w:rFonts w:ascii="Aptos" w:hAnsi="Aptos"/>
                <w:sz w:val="17"/>
              </w:rPr>
              <w:t>Performance Management</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14</w:t>
            </w:r>
          </w:p>
        </w:tc>
      </w:tr>
      <w:tr>
        <w:tc>
          <w:tcPr>
            <w:tcW w:type="dxa" w:w="1150"/>
          </w:tcPr>
          <w:p>
            <w:pPr>
              <w:spacing w:after="40" w:line="247" w:lineRule="auto"/>
            </w:pPr>
            <w:r>
              <w:rPr>
                <w:rFonts w:ascii="Aptos" w:hAnsi="Aptos"/>
                <w:sz w:val="17"/>
              </w:rPr>
              <w:t>HRM-039</w:t>
            </w:r>
          </w:p>
        </w:tc>
        <w:tc>
          <w:tcPr>
            <w:tcW w:type="dxa" w:w="2350"/>
          </w:tcPr>
          <w:p>
            <w:pPr>
              <w:spacing w:after="40" w:line="247" w:lineRule="auto"/>
            </w:pPr>
            <w:r>
              <w:rPr>
                <w:rFonts w:ascii="Aptos" w:hAnsi="Aptos"/>
                <w:sz w:val="17"/>
              </w:rPr>
              <w:t>Performance, Learning, Skills and Talent</w:t>
            </w:r>
          </w:p>
        </w:tc>
        <w:tc>
          <w:tcPr>
            <w:tcW w:type="dxa" w:w="3700"/>
          </w:tcPr>
          <w:p>
            <w:pPr>
              <w:spacing w:after="40" w:line="247" w:lineRule="auto"/>
            </w:pPr>
            <w:r>
              <w:rPr>
                <w:rFonts w:ascii="Aptos" w:hAnsi="Aptos"/>
                <w:sz w:val="17"/>
              </w:rPr>
              <w:t>Learning and Career Development</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15</w:t>
            </w:r>
          </w:p>
        </w:tc>
      </w:tr>
      <w:tr>
        <w:tc>
          <w:tcPr>
            <w:tcW w:type="dxa" w:w="1150"/>
            <w:shd w:fill="FAFCFD"/>
          </w:tcPr>
          <w:p>
            <w:pPr>
              <w:spacing w:after="40" w:line="247" w:lineRule="auto"/>
            </w:pPr>
            <w:r>
              <w:rPr>
                <w:rFonts w:ascii="Aptos" w:hAnsi="Aptos"/>
                <w:sz w:val="17"/>
              </w:rPr>
              <w:t>HRM-040</w:t>
            </w:r>
          </w:p>
        </w:tc>
        <w:tc>
          <w:tcPr>
            <w:tcW w:type="dxa" w:w="2350"/>
            <w:shd w:fill="FAFCFD"/>
          </w:tcPr>
          <w:p>
            <w:pPr>
              <w:spacing w:after="40" w:line="247" w:lineRule="auto"/>
            </w:pPr>
            <w:r>
              <w:rPr>
                <w:rFonts w:ascii="Aptos" w:hAnsi="Aptos"/>
                <w:sz w:val="17"/>
              </w:rPr>
              <w:t>Performance, Learning, Skills and Talent</w:t>
            </w:r>
          </w:p>
        </w:tc>
        <w:tc>
          <w:tcPr>
            <w:tcW w:type="dxa" w:w="3700"/>
            <w:shd w:fill="FAFCFD"/>
          </w:tcPr>
          <w:p>
            <w:pPr>
              <w:spacing w:after="40" w:line="247" w:lineRule="auto"/>
            </w:pPr>
            <w:r>
              <w:rPr>
                <w:rFonts w:ascii="Aptos" w:hAnsi="Aptos"/>
                <w:sz w:val="17"/>
              </w:rPr>
              <w:t>Talent and Succession Management</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13</w:t>
            </w:r>
          </w:p>
        </w:tc>
      </w:tr>
      <w:tr>
        <w:tc>
          <w:tcPr>
            <w:tcW w:type="dxa" w:w="1150"/>
          </w:tcPr>
          <w:p>
            <w:pPr>
              <w:spacing w:after="40" w:line="247" w:lineRule="auto"/>
            </w:pPr>
            <w:r>
              <w:rPr>
                <w:rFonts w:ascii="Aptos" w:hAnsi="Aptos"/>
                <w:sz w:val="17"/>
              </w:rPr>
              <w:t>HRM-041</w:t>
            </w:r>
          </w:p>
        </w:tc>
        <w:tc>
          <w:tcPr>
            <w:tcW w:type="dxa" w:w="2350"/>
          </w:tcPr>
          <w:p>
            <w:pPr>
              <w:spacing w:after="40" w:line="247" w:lineRule="auto"/>
            </w:pPr>
            <w:r>
              <w:rPr>
                <w:rFonts w:ascii="Aptos" w:hAnsi="Aptos"/>
                <w:sz w:val="17"/>
              </w:rPr>
              <w:t>Performance, Learning, Skills and Talent</w:t>
            </w:r>
          </w:p>
        </w:tc>
        <w:tc>
          <w:tcPr>
            <w:tcW w:type="dxa" w:w="3700"/>
          </w:tcPr>
          <w:p>
            <w:pPr>
              <w:spacing w:after="40" w:line="247" w:lineRule="auto"/>
            </w:pPr>
            <w:r>
              <w:rPr>
                <w:rFonts w:ascii="Aptos" w:hAnsi="Aptos"/>
                <w:sz w:val="17"/>
              </w:rPr>
              <w:t>Skills Intelligence and Internal Talent Marketplace</w:t>
            </w:r>
          </w:p>
        </w:tc>
        <w:tc>
          <w:tcPr>
            <w:tcW w:type="dxa" w:w="1300"/>
          </w:tcPr>
          <w:p>
            <w:pPr>
              <w:spacing w:after="40" w:line="247" w:lineRule="auto"/>
            </w:pPr>
            <w:r>
              <w:rPr>
                <w:rFonts w:ascii="Aptos" w:hAnsi="Aptos"/>
                <w:sz w:val="17"/>
              </w:rPr>
              <w:t>Enterprise</w:t>
            </w:r>
          </w:p>
        </w:tc>
        <w:tc>
          <w:tcPr>
            <w:tcW w:type="dxa" w:w="860"/>
          </w:tcPr>
          <w:p>
            <w:pPr>
              <w:spacing w:after="40" w:line="247" w:lineRule="auto"/>
            </w:pPr>
            <w:r>
              <w:rPr>
                <w:rFonts w:ascii="Aptos" w:hAnsi="Aptos"/>
                <w:sz w:val="17"/>
              </w:rPr>
              <w:t>15</w:t>
            </w:r>
          </w:p>
        </w:tc>
      </w:tr>
      <w:tr>
        <w:tc>
          <w:tcPr>
            <w:tcW w:type="dxa" w:w="1150"/>
            <w:shd w:fill="FAFCFD"/>
          </w:tcPr>
          <w:p>
            <w:pPr>
              <w:spacing w:after="40" w:line="247" w:lineRule="auto"/>
            </w:pPr>
            <w:r>
              <w:rPr>
                <w:rFonts w:ascii="Aptos" w:hAnsi="Aptos"/>
                <w:sz w:val="17"/>
              </w:rPr>
              <w:t>HRM-042</w:t>
            </w:r>
          </w:p>
        </w:tc>
        <w:tc>
          <w:tcPr>
            <w:tcW w:type="dxa" w:w="2350"/>
            <w:shd w:fill="FAFCFD"/>
          </w:tcPr>
          <w:p>
            <w:pPr>
              <w:spacing w:after="40" w:line="247" w:lineRule="auto"/>
            </w:pPr>
            <w:r>
              <w:rPr>
                <w:rFonts w:ascii="Aptos" w:hAnsi="Aptos"/>
                <w:sz w:val="17"/>
              </w:rPr>
              <w:t>Employee and Manager Experience</w:t>
            </w:r>
          </w:p>
        </w:tc>
        <w:tc>
          <w:tcPr>
            <w:tcW w:type="dxa" w:w="3700"/>
            <w:shd w:fill="FAFCFD"/>
          </w:tcPr>
          <w:p>
            <w:pPr>
              <w:spacing w:after="40" w:line="247" w:lineRule="auto"/>
            </w:pPr>
            <w:r>
              <w:rPr>
                <w:rFonts w:ascii="Aptos" w:hAnsi="Aptos"/>
                <w:sz w:val="17"/>
              </w:rPr>
              <w:t>Employee Self-Service</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11</w:t>
            </w:r>
          </w:p>
        </w:tc>
      </w:tr>
      <w:tr>
        <w:tc>
          <w:tcPr>
            <w:tcW w:type="dxa" w:w="1150"/>
          </w:tcPr>
          <w:p>
            <w:pPr>
              <w:spacing w:after="40" w:line="247" w:lineRule="auto"/>
            </w:pPr>
            <w:r>
              <w:rPr>
                <w:rFonts w:ascii="Aptos" w:hAnsi="Aptos"/>
                <w:sz w:val="17"/>
              </w:rPr>
              <w:t>HRM-043</w:t>
            </w:r>
          </w:p>
        </w:tc>
        <w:tc>
          <w:tcPr>
            <w:tcW w:type="dxa" w:w="2350"/>
          </w:tcPr>
          <w:p>
            <w:pPr>
              <w:spacing w:after="40" w:line="247" w:lineRule="auto"/>
            </w:pPr>
            <w:r>
              <w:rPr>
                <w:rFonts w:ascii="Aptos" w:hAnsi="Aptos"/>
                <w:sz w:val="17"/>
              </w:rPr>
              <w:t>Employee and Manager Experience</w:t>
            </w:r>
          </w:p>
        </w:tc>
        <w:tc>
          <w:tcPr>
            <w:tcW w:type="dxa" w:w="3700"/>
          </w:tcPr>
          <w:p>
            <w:pPr>
              <w:spacing w:after="40" w:line="247" w:lineRule="auto"/>
            </w:pPr>
            <w:r>
              <w:rPr>
                <w:rFonts w:ascii="Aptos" w:hAnsi="Aptos"/>
                <w:sz w:val="17"/>
              </w:rPr>
              <w:t>Manager Self-Service</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11</w:t>
            </w:r>
          </w:p>
        </w:tc>
      </w:tr>
      <w:tr>
        <w:tc>
          <w:tcPr>
            <w:tcW w:type="dxa" w:w="1150"/>
            <w:shd w:fill="FAFCFD"/>
          </w:tcPr>
          <w:p>
            <w:pPr>
              <w:spacing w:after="40" w:line="247" w:lineRule="auto"/>
            </w:pPr>
            <w:r>
              <w:rPr>
                <w:rFonts w:ascii="Aptos" w:hAnsi="Aptos"/>
                <w:sz w:val="17"/>
              </w:rPr>
              <w:t>HRM-044</w:t>
            </w:r>
          </w:p>
        </w:tc>
        <w:tc>
          <w:tcPr>
            <w:tcW w:type="dxa" w:w="2350"/>
            <w:shd w:fill="FAFCFD"/>
          </w:tcPr>
          <w:p>
            <w:pPr>
              <w:spacing w:after="40" w:line="247" w:lineRule="auto"/>
            </w:pPr>
            <w:r>
              <w:rPr>
                <w:rFonts w:ascii="Aptos" w:hAnsi="Aptos"/>
                <w:sz w:val="17"/>
              </w:rPr>
              <w:t>Employee and Manager Experience</w:t>
            </w:r>
          </w:p>
        </w:tc>
        <w:tc>
          <w:tcPr>
            <w:tcW w:type="dxa" w:w="3700"/>
            <w:shd w:fill="FAFCFD"/>
          </w:tcPr>
          <w:p>
            <w:pPr>
              <w:spacing w:after="40" w:line="247" w:lineRule="auto"/>
            </w:pPr>
            <w:r>
              <w:rPr>
                <w:rFonts w:ascii="Aptos" w:hAnsi="Aptos"/>
                <w:sz w:val="17"/>
              </w:rPr>
              <w:t>HR Service Desk and Request Management</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12</w:t>
            </w:r>
          </w:p>
        </w:tc>
      </w:tr>
      <w:tr>
        <w:tc>
          <w:tcPr>
            <w:tcW w:type="dxa" w:w="1150"/>
          </w:tcPr>
          <w:p>
            <w:pPr>
              <w:spacing w:after="40" w:line="247" w:lineRule="auto"/>
            </w:pPr>
            <w:r>
              <w:rPr>
                <w:rFonts w:ascii="Aptos" w:hAnsi="Aptos"/>
                <w:sz w:val="17"/>
              </w:rPr>
              <w:t>HRM-045</w:t>
            </w:r>
          </w:p>
        </w:tc>
        <w:tc>
          <w:tcPr>
            <w:tcW w:type="dxa" w:w="2350"/>
          </w:tcPr>
          <w:p>
            <w:pPr>
              <w:spacing w:after="40" w:line="247" w:lineRule="auto"/>
            </w:pPr>
            <w:r>
              <w:rPr>
                <w:rFonts w:ascii="Aptos" w:hAnsi="Aptos"/>
                <w:sz w:val="17"/>
              </w:rPr>
              <w:t>Employee and Manager Experience</w:t>
            </w:r>
          </w:p>
        </w:tc>
        <w:tc>
          <w:tcPr>
            <w:tcW w:type="dxa" w:w="3700"/>
          </w:tcPr>
          <w:p>
            <w:pPr>
              <w:spacing w:after="40" w:line="247" w:lineRule="auto"/>
            </w:pPr>
            <w:r>
              <w:rPr>
                <w:rFonts w:ascii="Aptos" w:hAnsi="Aptos"/>
                <w:sz w:val="17"/>
              </w:rPr>
              <w:t>Employee Request and Letter Centre</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11</w:t>
            </w:r>
          </w:p>
        </w:tc>
      </w:tr>
      <w:tr>
        <w:tc>
          <w:tcPr>
            <w:tcW w:type="dxa" w:w="1150"/>
            <w:shd w:fill="FAFCFD"/>
          </w:tcPr>
          <w:p>
            <w:pPr>
              <w:spacing w:after="40" w:line="247" w:lineRule="auto"/>
            </w:pPr>
            <w:r>
              <w:rPr>
                <w:rFonts w:ascii="Aptos" w:hAnsi="Aptos"/>
                <w:sz w:val="17"/>
              </w:rPr>
              <w:t>HRM-046</w:t>
            </w:r>
          </w:p>
        </w:tc>
        <w:tc>
          <w:tcPr>
            <w:tcW w:type="dxa" w:w="2350"/>
            <w:shd w:fill="FAFCFD"/>
          </w:tcPr>
          <w:p>
            <w:pPr>
              <w:spacing w:after="40" w:line="247" w:lineRule="auto"/>
            </w:pPr>
            <w:r>
              <w:rPr>
                <w:rFonts w:ascii="Aptos" w:hAnsi="Aptos"/>
                <w:sz w:val="17"/>
              </w:rPr>
              <w:t>Employee and Manager Experience</w:t>
            </w:r>
          </w:p>
        </w:tc>
        <w:tc>
          <w:tcPr>
            <w:tcW w:type="dxa" w:w="3700"/>
            <w:shd w:fill="FAFCFD"/>
          </w:tcPr>
          <w:p>
            <w:pPr>
              <w:spacing w:after="40" w:line="247" w:lineRule="auto"/>
            </w:pPr>
            <w:r>
              <w:rPr>
                <w:rFonts w:ascii="Aptos" w:hAnsi="Aptos"/>
                <w:sz w:val="17"/>
              </w:rPr>
              <w:t>HR Knowledge Base and Digital Assistance</w:t>
            </w:r>
          </w:p>
        </w:tc>
        <w:tc>
          <w:tcPr>
            <w:tcW w:type="dxa" w:w="1300"/>
            <w:shd w:fill="FAFCFD"/>
          </w:tcPr>
          <w:p>
            <w:pPr>
              <w:spacing w:after="40" w:line="247" w:lineRule="auto"/>
            </w:pPr>
            <w:r>
              <w:rPr>
                <w:rFonts w:ascii="Aptos" w:hAnsi="Aptos"/>
                <w:sz w:val="17"/>
              </w:rPr>
              <w:t>Advanced</w:t>
            </w:r>
          </w:p>
        </w:tc>
        <w:tc>
          <w:tcPr>
            <w:tcW w:type="dxa" w:w="860"/>
            <w:shd w:fill="FAFCFD"/>
          </w:tcPr>
          <w:p>
            <w:r>
              <w:t>15</w:t>
            </w:r>
          </w:p>
        </w:tc>
      </w:tr>
      <w:tr>
        <w:tc>
          <w:tcPr>
            <w:tcW w:type="dxa" w:w="1150"/>
          </w:tcPr>
          <w:p>
            <w:pPr>
              <w:spacing w:after="40" w:line="247" w:lineRule="auto"/>
            </w:pPr>
            <w:r>
              <w:rPr>
                <w:rFonts w:ascii="Aptos" w:hAnsi="Aptos"/>
                <w:sz w:val="17"/>
              </w:rPr>
              <w:t>HRM-047</w:t>
            </w:r>
          </w:p>
        </w:tc>
        <w:tc>
          <w:tcPr>
            <w:tcW w:type="dxa" w:w="2350"/>
          </w:tcPr>
          <w:p>
            <w:pPr>
              <w:spacing w:after="40" w:line="247" w:lineRule="auto"/>
            </w:pPr>
            <w:r>
              <w:rPr>
                <w:rFonts w:ascii="Aptos" w:hAnsi="Aptos"/>
                <w:sz w:val="17"/>
              </w:rPr>
              <w:t>Employee and Manager Experience</w:t>
            </w:r>
          </w:p>
        </w:tc>
        <w:tc>
          <w:tcPr>
            <w:tcW w:type="dxa" w:w="3700"/>
          </w:tcPr>
          <w:p>
            <w:pPr>
              <w:spacing w:after="40" w:line="247" w:lineRule="auto"/>
            </w:pPr>
            <w:r>
              <w:rPr>
                <w:rFonts w:ascii="Aptos" w:hAnsi="Aptos"/>
                <w:sz w:val="17"/>
              </w:rPr>
              <w:t>Employee Engagement, Wellbeing and Recognition</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12</w:t>
            </w:r>
          </w:p>
        </w:tc>
      </w:tr>
      <w:tr>
        <w:tc>
          <w:tcPr>
            <w:tcW w:type="dxa" w:w="1150"/>
            <w:shd w:fill="FAFCFD"/>
          </w:tcPr>
          <w:p>
            <w:pPr>
              <w:spacing w:after="40" w:line="247" w:lineRule="auto"/>
            </w:pPr>
            <w:r>
              <w:rPr>
                <w:rFonts w:ascii="Aptos" w:hAnsi="Aptos"/>
                <w:sz w:val="17"/>
              </w:rPr>
              <w:t>HRM-048</w:t>
            </w:r>
          </w:p>
        </w:tc>
        <w:tc>
          <w:tcPr>
            <w:tcW w:type="dxa" w:w="2350"/>
            <w:shd w:fill="FAFCFD"/>
          </w:tcPr>
          <w:p>
            <w:pPr>
              <w:spacing w:after="40" w:line="247" w:lineRule="auto"/>
            </w:pPr>
            <w:r>
              <w:rPr>
                <w:rFonts w:ascii="Aptos" w:hAnsi="Aptos"/>
                <w:sz w:val="17"/>
              </w:rPr>
              <w:t>Employee and Manager Experience</w:t>
            </w:r>
          </w:p>
        </w:tc>
        <w:tc>
          <w:tcPr>
            <w:tcW w:type="dxa" w:w="3700"/>
            <w:shd w:fill="FAFCFD"/>
          </w:tcPr>
          <w:p>
            <w:pPr>
              <w:spacing w:after="40" w:line="247" w:lineRule="auto"/>
            </w:pPr>
            <w:r>
              <w:rPr>
                <w:rFonts w:ascii="Aptos" w:hAnsi="Aptos"/>
                <w:sz w:val="17"/>
              </w:rPr>
              <w:t>HR Announcements and Employee Community</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10</w:t>
            </w:r>
          </w:p>
        </w:tc>
      </w:tr>
      <w:tr>
        <w:tc>
          <w:tcPr>
            <w:tcW w:type="dxa" w:w="1150"/>
          </w:tcPr>
          <w:p>
            <w:pPr>
              <w:spacing w:after="40" w:line="247" w:lineRule="auto"/>
            </w:pPr>
            <w:r>
              <w:rPr>
                <w:rFonts w:ascii="Aptos" w:hAnsi="Aptos"/>
                <w:sz w:val="17"/>
              </w:rPr>
              <w:t>HRM-049</w:t>
            </w:r>
          </w:p>
        </w:tc>
        <w:tc>
          <w:tcPr>
            <w:tcW w:type="dxa" w:w="2350"/>
          </w:tcPr>
          <w:p>
            <w:pPr>
              <w:spacing w:after="40" w:line="247" w:lineRule="auto"/>
            </w:pPr>
            <w:r>
              <w:rPr>
                <w:rFonts w:ascii="Aptos" w:hAnsi="Aptos"/>
                <w:sz w:val="17"/>
              </w:rPr>
              <w:t>Employee Relations, Safety, Ethics and Compliance</w:t>
            </w:r>
          </w:p>
        </w:tc>
        <w:tc>
          <w:tcPr>
            <w:tcW w:type="dxa" w:w="3700"/>
          </w:tcPr>
          <w:p>
            <w:pPr>
              <w:spacing w:after="40" w:line="247" w:lineRule="auto"/>
            </w:pPr>
            <w:r>
              <w:rPr>
                <w:rFonts w:ascii="Aptos" w:hAnsi="Aptos"/>
                <w:sz w:val="17"/>
              </w:rPr>
              <w:t>Employee Relations and Case Management</w:t>
            </w:r>
          </w:p>
        </w:tc>
        <w:tc>
          <w:tcPr>
            <w:tcW w:type="dxa" w:w="1300"/>
          </w:tcPr>
          <w:p>
            <w:pPr>
              <w:spacing w:after="40" w:line="247" w:lineRule="auto"/>
            </w:pPr>
            <w:r>
              <w:rPr>
                <w:rFonts w:ascii="Aptos" w:hAnsi="Aptos"/>
                <w:sz w:val="17"/>
              </w:rPr>
              <w:t>Advanced</w:t>
            </w:r>
          </w:p>
        </w:tc>
        <w:tc>
          <w:tcPr>
            <w:tcW w:type="dxa" w:w="860"/>
          </w:tcPr>
          <w:p>
            <w:pPr>
              <w:spacing w:after="40" w:line="247" w:lineRule="auto"/>
            </w:pPr>
            <w:r>
              <w:rPr>
                <w:rFonts w:ascii="Aptos" w:hAnsi="Aptos"/>
                <w:sz w:val="17"/>
              </w:rPr>
              <w:t>13</w:t>
            </w:r>
          </w:p>
        </w:tc>
      </w:tr>
      <w:tr>
        <w:tc>
          <w:tcPr>
            <w:tcW w:type="dxa" w:w="1150"/>
            <w:shd w:fill="FAFCFD"/>
          </w:tcPr>
          <w:p>
            <w:pPr>
              <w:spacing w:after="40" w:line="247" w:lineRule="auto"/>
            </w:pPr>
            <w:r>
              <w:rPr>
                <w:rFonts w:ascii="Aptos" w:hAnsi="Aptos"/>
                <w:sz w:val="17"/>
              </w:rPr>
              <w:t>HRM-050</w:t>
            </w:r>
          </w:p>
        </w:tc>
        <w:tc>
          <w:tcPr>
            <w:tcW w:type="dxa" w:w="2350"/>
            <w:shd w:fill="FAFCFD"/>
          </w:tcPr>
          <w:p>
            <w:pPr>
              <w:spacing w:after="40" w:line="247" w:lineRule="auto"/>
            </w:pPr>
            <w:r>
              <w:rPr>
                <w:rFonts w:ascii="Aptos" w:hAnsi="Aptos"/>
                <w:sz w:val="17"/>
              </w:rPr>
              <w:t>Employee Relations, Safety, Ethics and Compliance</w:t>
            </w:r>
          </w:p>
        </w:tc>
        <w:tc>
          <w:tcPr>
            <w:tcW w:type="dxa" w:w="3700"/>
            <w:shd w:fill="FAFCFD"/>
          </w:tcPr>
          <w:p>
            <w:pPr>
              <w:spacing w:after="40" w:line="247" w:lineRule="auto"/>
            </w:pPr>
            <w:r>
              <w:rPr>
                <w:rFonts w:ascii="Aptos" w:hAnsi="Aptos"/>
                <w:sz w:val="17"/>
              </w:rPr>
              <w:t>Employee Discipline and Warning Register</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12</w:t>
            </w:r>
          </w:p>
        </w:tc>
      </w:tr>
      <w:tr>
        <w:tc>
          <w:tcPr>
            <w:tcW w:type="dxa" w:w="1150"/>
          </w:tcPr>
          <w:p>
            <w:pPr>
              <w:spacing w:after="40" w:line="247" w:lineRule="auto"/>
            </w:pPr>
            <w:r>
              <w:rPr>
                <w:rFonts w:ascii="Aptos" w:hAnsi="Aptos"/>
                <w:sz w:val="17"/>
              </w:rPr>
              <w:t>HRM-051</w:t>
            </w:r>
          </w:p>
        </w:tc>
        <w:tc>
          <w:tcPr>
            <w:tcW w:type="dxa" w:w="2350"/>
          </w:tcPr>
          <w:p>
            <w:pPr>
              <w:spacing w:after="40" w:line="247" w:lineRule="auto"/>
            </w:pPr>
            <w:r>
              <w:rPr>
                <w:rFonts w:ascii="Aptos" w:hAnsi="Aptos"/>
                <w:sz w:val="17"/>
              </w:rPr>
              <w:t>Employee Relations, Safety, Ethics and Compliance</w:t>
            </w:r>
          </w:p>
        </w:tc>
        <w:tc>
          <w:tcPr>
            <w:tcW w:type="dxa" w:w="3700"/>
          </w:tcPr>
          <w:p>
            <w:pPr>
              <w:spacing w:after="40" w:line="247" w:lineRule="auto"/>
            </w:pPr>
            <w:r>
              <w:rPr>
                <w:rFonts w:ascii="Aptos" w:hAnsi="Aptos"/>
                <w:sz w:val="17"/>
              </w:rPr>
              <w:t>Labour Relations, Unions and Collective Agreements</w:t>
            </w:r>
          </w:p>
        </w:tc>
        <w:tc>
          <w:tcPr>
            <w:tcW w:type="dxa" w:w="1300"/>
          </w:tcPr>
          <w:p>
            <w:pPr>
              <w:spacing w:after="40" w:line="247" w:lineRule="auto"/>
            </w:pPr>
            <w:r>
              <w:rPr>
                <w:rFonts w:ascii="Aptos" w:hAnsi="Aptos"/>
                <w:sz w:val="17"/>
              </w:rPr>
              <w:t>Enterprise</w:t>
            </w:r>
          </w:p>
        </w:tc>
        <w:tc>
          <w:tcPr>
            <w:tcW w:type="dxa" w:w="860"/>
          </w:tcPr>
          <w:p>
            <w:pPr>
              <w:spacing w:after="40" w:line="247" w:lineRule="auto"/>
            </w:pPr>
            <w:r>
              <w:rPr>
                <w:rFonts w:ascii="Aptos" w:hAnsi="Aptos"/>
                <w:sz w:val="17"/>
              </w:rPr>
              <w:t>13</w:t>
            </w:r>
          </w:p>
        </w:tc>
      </w:tr>
      <w:tr>
        <w:tc>
          <w:tcPr>
            <w:tcW w:type="dxa" w:w="1150"/>
            <w:shd w:fill="FAFCFD"/>
          </w:tcPr>
          <w:p>
            <w:pPr>
              <w:spacing w:after="40" w:line="247" w:lineRule="auto"/>
            </w:pPr>
            <w:r>
              <w:rPr>
                <w:rFonts w:ascii="Aptos" w:hAnsi="Aptos"/>
                <w:sz w:val="17"/>
              </w:rPr>
              <w:t>HRM-052</w:t>
            </w:r>
          </w:p>
        </w:tc>
        <w:tc>
          <w:tcPr>
            <w:tcW w:type="dxa" w:w="2350"/>
            <w:shd w:fill="FAFCFD"/>
          </w:tcPr>
          <w:p>
            <w:pPr>
              <w:spacing w:after="40" w:line="247" w:lineRule="auto"/>
            </w:pPr>
            <w:r>
              <w:rPr>
                <w:rFonts w:ascii="Aptos" w:hAnsi="Aptos"/>
                <w:sz w:val="17"/>
              </w:rPr>
              <w:t>Employee Relations, Safety, Ethics and Compliance</w:t>
            </w:r>
          </w:p>
        </w:tc>
        <w:tc>
          <w:tcPr>
            <w:tcW w:type="dxa" w:w="3700"/>
            <w:shd w:fill="FAFCFD"/>
          </w:tcPr>
          <w:p>
            <w:pPr>
              <w:spacing w:after="40" w:line="247" w:lineRule="auto"/>
            </w:pPr>
            <w:r>
              <w:rPr>
                <w:rFonts w:ascii="Aptos" w:hAnsi="Aptos"/>
                <w:sz w:val="17"/>
              </w:rPr>
              <w:t>Health, Safety and Occupational Health</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13</w:t>
            </w:r>
          </w:p>
        </w:tc>
      </w:tr>
      <w:tr>
        <w:tc>
          <w:tcPr>
            <w:tcW w:type="dxa" w:w="1150"/>
          </w:tcPr>
          <w:p>
            <w:pPr>
              <w:spacing w:after="40" w:line="247" w:lineRule="auto"/>
            </w:pPr>
            <w:r>
              <w:rPr>
                <w:rFonts w:ascii="Aptos" w:hAnsi="Aptos"/>
                <w:sz w:val="17"/>
              </w:rPr>
              <w:t>HRM-053</w:t>
            </w:r>
          </w:p>
        </w:tc>
        <w:tc>
          <w:tcPr>
            <w:tcW w:type="dxa" w:w="2350"/>
          </w:tcPr>
          <w:p>
            <w:pPr>
              <w:spacing w:after="40" w:line="247" w:lineRule="auto"/>
            </w:pPr>
            <w:r>
              <w:rPr>
                <w:rFonts w:ascii="Aptos" w:hAnsi="Aptos"/>
                <w:sz w:val="17"/>
              </w:rPr>
              <w:t>Employee Relations, Safety, Ethics and Compliance</w:t>
            </w:r>
          </w:p>
        </w:tc>
        <w:tc>
          <w:tcPr>
            <w:tcW w:type="dxa" w:w="3700"/>
          </w:tcPr>
          <w:p>
            <w:pPr>
              <w:spacing w:after="40" w:line="247" w:lineRule="auto"/>
            </w:pPr>
            <w:r>
              <w:rPr>
                <w:rFonts w:ascii="Aptos" w:hAnsi="Aptos"/>
                <w:sz w:val="17"/>
              </w:rPr>
              <w:t>Whistleblowing and Protected Disclosures</w:t>
            </w:r>
          </w:p>
        </w:tc>
        <w:tc>
          <w:tcPr>
            <w:tcW w:type="dxa" w:w="1300"/>
          </w:tcPr>
          <w:p>
            <w:r>
              <w:t>Essentials</w:t>
            </w:r>
          </w:p>
        </w:tc>
        <w:tc>
          <w:tcPr>
            <w:tcW w:type="dxa" w:w="860"/>
          </w:tcPr>
          <w:p>
            <w:r>
              <w:t>37</w:t>
            </w:r>
          </w:p>
        </w:tc>
      </w:tr>
      <w:tr>
        <w:tc>
          <w:tcPr>
            <w:tcW w:type="dxa" w:w="1150"/>
            <w:shd w:fill="FAFCFD"/>
          </w:tcPr>
          <w:p>
            <w:pPr>
              <w:spacing w:after="40" w:line="247" w:lineRule="auto"/>
            </w:pPr>
            <w:r>
              <w:rPr>
                <w:rFonts w:ascii="Aptos" w:hAnsi="Aptos"/>
                <w:sz w:val="17"/>
              </w:rPr>
              <w:t>HRM-054</w:t>
            </w:r>
          </w:p>
        </w:tc>
        <w:tc>
          <w:tcPr>
            <w:tcW w:type="dxa" w:w="2350"/>
            <w:shd w:fill="FAFCFD"/>
          </w:tcPr>
          <w:p>
            <w:pPr>
              <w:spacing w:after="40" w:line="247" w:lineRule="auto"/>
            </w:pPr>
            <w:r>
              <w:rPr>
                <w:rFonts w:ascii="Aptos" w:hAnsi="Aptos"/>
                <w:sz w:val="17"/>
              </w:rPr>
              <w:t>Employee Relations, Safety, Ethics and Compliance</w:t>
            </w:r>
          </w:p>
        </w:tc>
        <w:tc>
          <w:tcPr>
            <w:tcW w:type="dxa" w:w="3700"/>
            <w:shd w:fill="FAFCFD"/>
          </w:tcPr>
          <w:p>
            <w:pPr>
              <w:spacing w:after="40" w:line="247" w:lineRule="auto"/>
            </w:pPr>
            <w:r>
              <w:rPr>
                <w:rFonts w:ascii="Aptos" w:hAnsi="Aptos"/>
                <w:sz w:val="17"/>
              </w:rPr>
              <w:t>Ethics, Conflicts and Employee Declarations</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11</w:t>
            </w:r>
          </w:p>
        </w:tc>
      </w:tr>
      <w:tr>
        <w:tc>
          <w:tcPr>
            <w:tcW w:type="dxa" w:w="1150"/>
          </w:tcPr>
          <w:p>
            <w:pPr>
              <w:spacing w:after="40" w:line="247" w:lineRule="auto"/>
            </w:pPr>
            <w:r>
              <w:rPr>
                <w:rFonts w:ascii="Aptos" w:hAnsi="Aptos"/>
                <w:sz w:val="17"/>
              </w:rPr>
              <w:t>HRM-055</w:t>
            </w:r>
          </w:p>
        </w:tc>
        <w:tc>
          <w:tcPr>
            <w:tcW w:type="dxa" w:w="2350"/>
          </w:tcPr>
          <w:p>
            <w:pPr>
              <w:spacing w:after="40" w:line="247" w:lineRule="auto"/>
            </w:pPr>
            <w:r>
              <w:rPr>
                <w:rFonts w:ascii="Aptos" w:hAnsi="Aptos"/>
                <w:sz w:val="17"/>
              </w:rPr>
              <w:t>Employee Relations, Safety, Ethics and Compliance</w:t>
            </w:r>
          </w:p>
        </w:tc>
        <w:tc>
          <w:tcPr>
            <w:tcW w:type="dxa" w:w="3700"/>
          </w:tcPr>
          <w:p>
            <w:pPr>
              <w:spacing w:after="40" w:line="247" w:lineRule="auto"/>
            </w:pPr>
            <w:r>
              <w:rPr>
                <w:rFonts w:ascii="Aptos" w:hAnsi="Aptos"/>
                <w:sz w:val="17"/>
              </w:rPr>
              <w:t>Emergency Workforce Accountability</w:t>
            </w:r>
          </w:p>
        </w:tc>
        <w:tc>
          <w:tcPr>
            <w:tcW w:type="dxa" w:w="1300"/>
          </w:tcPr>
          <w:p>
            <w:pPr>
              <w:spacing w:after="40" w:line="247" w:lineRule="auto"/>
            </w:pPr>
            <w:r>
              <w:rPr>
                <w:rFonts w:ascii="Aptos" w:hAnsi="Aptos"/>
                <w:sz w:val="17"/>
              </w:rPr>
              <w:t>Enterprise</w:t>
            </w:r>
          </w:p>
        </w:tc>
        <w:tc>
          <w:tcPr>
            <w:tcW w:type="dxa" w:w="860"/>
          </w:tcPr>
          <w:p>
            <w:pPr>
              <w:spacing w:after="40" w:line="247" w:lineRule="auto"/>
            </w:pPr>
            <w:r>
              <w:rPr>
                <w:rFonts w:ascii="Aptos" w:hAnsi="Aptos"/>
                <w:sz w:val="17"/>
              </w:rPr>
              <w:t>11</w:t>
            </w:r>
          </w:p>
        </w:tc>
      </w:tr>
      <w:tr>
        <w:tc>
          <w:tcPr>
            <w:tcW w:type="dxa" w:w="1150"/>
            <w:shd w:fill="FAFCFD"/>
          </w:tcPr>
          <w:p>
            <w:pPr>
              <w:spacing w:after="40" w:line="247" w:lineRule="auto"/>
            </w:pPr>
            <w:r>
              <w:rPr>
                <w:rFonts w:ascii="Aptos" w:hAnsi="Aptos"/>
                <w:sz w:val="17"/>
              </w:rPr>
              <w:t>HRM-056</w:t>
            </w:r>
          </w:p>
        </w:tc>
        <w:tc>
          <w:tcPr>
            <w:tcW w:type="dxa" w:w="2350"/>
            <w:shd w:fill="FAFCFD"/>
          </w:tcPr>
          <w:p>
            <w:pPr>
              <w:spacing w:after="40" w:line="247" w:lineRule="auto"/>
            </w:pPr>
            <w:r>
              <w:rPr>
                <w:rFonts w:ascii="Aptos" w:hAnsi="Aptos"/>
                <w:sz w:val="17"/>
              </w:rPr>
              <w:t>Assets, Separation and Post-Employment</w:t>
            </w:r>
          </w:p>
        </w:tc>
        <w:tc>
          <w:tcPr>
            <w:tcW w:type="dxa" w:w="3700"/>
            <w:shd w:fill="FAFCFD"/>
          </w:tcPr>
          <w:p>
            <w:pPr>
              <w:spacing w:after="40" w:line="247" w:lineRule="auto"/>
            </w:pPr>
            <w:r>
              <w:rPr>
                <w:rFonts w:ascii="Aptos" w:hAnsi="Aptos"/>
                <w:sz w:val="17"/>
              </w:rPr>
              <w:t>Workforce Assets and Access Lifecycle</w:t>
            </w:r>
          </w:p>
        </w:tc>
        <w:tc>
          <w:tcPr>
            <w:tcW w:type="dxa" w:w="1300"/>
            <w:shd w:fill="FAFCFD"/>
          </w:tcPr>
          <w:p>
            <w:pPr>
              <w:spacing w:after="40" w:line="247" w:lineRule="auto"/>
            </w:pPr>
            <w:r>
              <w:rPr>
                <w:rFonts w:ascii="Aptos" w:hAnsi="Aptos"/>
                <w:sz w:val="17"/>
              </w:rPr>
              <w:t>Essentials</w:t>
            </w:r>
          </w:p>
        </w:tc>
        <w:tc>
          <w:tcPr>
            <w:tcW w:type="dxa" w:w="860"/>
            <w:shd w:fill="FAFCFD"/>
          </w:tcPr>
          <w:p>
            <w:pPr>
              <w:spacing w:after="40" w:line="247" w:lineRule="auto"/>
            </w:pPr>
            <w:r>
              <w:rPr>
                <w:rFonts w:ascii="Aptos" w:hAnsi="Aptos"/>
                <w:sz w:val="17"/>
              </w:rPr>
              <w:t>12</w:t>
            </w:r>
          </w:p>
        </w:tc>
      </w:tr>
      <w:tr>
        <w:tc>
          <w:tcPr>
            <w:tcW w:type="dxa" w:w="1150"/>
          </w:tcPr>
          <w:p>
            <w:pPr>
              <w:spacing w:after="40" w:line="247" w:lineRule="auto"/>
            </w:pPr>
            <w:r>
              <w:rPr>
                <w:rFonts w:ascii="Aptos" w:hAnsi="Aptos"/>
                <w:sz w:val="17"/>
              </w:rPr>
              <w:t>HRM-057</w:t>
            </w:r>
          </w:p>
        </w:tc>
        <w:tc>
          <w:tcPr>
            <w:tcW w:type="dxa" w:w="2350"/>
          </w:tcPr>
          <w:p>
            <w:pPr>
              <w:spacing w:after="40" w:line="247" w:lineRule="auto"/>
            </w:pPr>
            <w:r>
              <w:rPr>
                <w:rFonts w:ascii="Aptos" w:hAnsi="Aptos"/>
                <w:sz w:val="17"/>
              </w:rPr>
              <w:t>Assets, Separation and Post-Employment</w:t>
            </w:r>
          </w:p>
        </w:tc>
        <w:tc>
          <w:tcPr>
            <w:tcW w:type="dxa" w:w="3700"/>
          </w:tcPr>
          <w:p>
            <w:pPr>
              <w:spacing w:after="40" w:line="247" w:lineRule="auto"/>
            </w:pPr>
            <w:r>
              <w:rPr>
                <w:rFonts w:ascii="Aptos" w:hAnsi="Aptos"/>
                <w:sz w:val="17"/>
              </w:rPr>
              <w:t>Separation, Offboarding and Full-and-Final Settlement</w:t>
            </w:r>
          </w:p>
        </w:tc>
        <w:tc>
          <w:tcPr>
            <w:tcW w:type="dxa" w:w="1300"/>
          </w:tcPr>
          <w:p>
            <w:pPr>
              <w:spacing w:after="40" w:line="247" w:lineRule="auto"/>
            </w:pPr>
            <w:r>
              <w:rPr>
                <w:rFonts w:ascii="Aptos" w:hAnsi="Aptos"/>
                <w:sz w:val="17"/>
              </w:rPr>
              <w:t>Essentials</w:t>
            </w:r>
          </w:p>
        </w:tc>
        <w:tc>
          <w:tcPr>
            <w:tcW w:type="dxa" w:w="860"/>
          </w:tcPr>
          <w:p>
            <w:pPr>
              <w:spacing w:after="40" w:line="247" w:lineRule="auto"/>
            </w:pPr>
            <w:r>
              <w:rPr>
                <w:rFonts w:ascii="Aptos" w:hAnsi="Aptos"/>
                <w:sz w:val="17"/>
              </w:rPr>
              <w:t>20</w:t>
            </w:r>
          </w:p>
        </w:tc>
      </w:tr>
      <w:tr>
        <w:tc>
          <w:tcPr>
            <w:tcW w:type="dxa" w:w="1150"/>
            <w:shd w:fill="FAFCFD"/>
          </w:tcPr>
          <w:p>
            <w:pPr>
              <w:spacing w:after="40" w:line="247" w:lineRule="auto"/>
            </w:pPr>
            <w:r>
              <w:rPr>
                <w:rFonts w:ascii="Aptos" w:hAnsi="Aptos"/>
                <w:sz w:val="17"/>
              </w:rPr>
              <w:t>HRM-058</w:t>
            </w:r>
          </w:p>
        </w:tc>
        <w:tc>
          <w:tcPr>
            <w:tcW w:type="dxa" w:w="2350"/>
            <w:shd w:fill="FAFCFD"/>
          </w:tcPr>
          <w:p>
            <w:pPr>
              <w:spacing w:after="40" w:line="247" w:lineRule="auto"/>
            </w:pPr>
            <w:r>
              <w:rPr>
                <w:rFonts w:ascii="Aptos" w:hAnsi="Aptos"/>
                <w:sz w:val="17"/>
              </w:rPr>
              <w:t>Assets, Separation and Post-Employment</w:t>
            </w:r>
          </w:p>
        </w:tc>
        <w:tc>
          <w:tcPr>
            <w:tcW w:type="dxa" w:w="3700"/>
            <w:shd w:fill="FAFCFD"/>
          </w:tcPr>
          <w:p>
            <w:pPr>
              <w:spacing w:after="40" w:line="247" w:lineRule="auto"/>
            </w:pPr>
            <w:r>
              <w:rPr>
                <w:rFonts w:ascii="Aptos" w:hAnsi="Aptos"/>
                <w:sz w:val="17"/>
              </w:rPr>
              <w:t>Former Workers, Alumni and Rehire</w:t>
            </w:r>
          </w:p>
        </w:tc>
        <w:tc>
          <w:tcPr>
            <w:tcW w:type="dxa" w:w="1300"/>
            <w:shd w:fill="FAFCFD"/>
          </w:tcPr>
          <w:p>
            <w:pPr>
              <w:spacing w:after="40" w:line="247" w:lineRule="auto"/>
            </w:pPr>
            <w:r>
              <w:rPr>
                <w:rFonts w:ascii="Aptos" w:hAnsi="Aptos"/>
                <w:sz w:val="17"/>
              </w:rPr>
              <w:t>Advanced</w:t>
            </w:r>
          </w:p>
        </w:tc>
        <w:tc>
          <w:tcPr>
            <w:tcW w:type="dxa" w:w="860"/>
            <w:shd w:fill="FAFCFD"/>
          </w:tcPr>
          <w:p>
            <w:pPr>
              <w:spacing w:after="40" w:line="247" w:lineRule="auto"/>
            </w:pPr>
            <w:r>
              <w:rPr>
                <w:rFonts w:ascii="Aptos" w:hAnsi="Aptos"/>
                <w:sz w:val="17"/>
              </w:rPr>
              <w:t>12</w:t>
            </w:r>
          </w:p>
        </w:tc>
      </w:tr>
    </w:tbl>
    <w:p>
      <w:r>
        <w:br w:type="page"/>
      </w:r>
    </w:p>
    <w:p>
      <w:pPr>
        <w:pStyle w:val="Heading1"/>
      </w:pPr>
      <w:r>
        <w:t>A. Platform, Administration and Governance</w:t>
      </w:r>
    </w:p>
    <w:p>
      <w:r>
        <w:t>Shared HR capabilities governing navigation, configuration, security, information, integration and operational control.</w:t>
      </w:r>
    </w:p>
    <w:p>
      <w:pPr>
        <w:pStyle w:val="Heading2"/>
      </w:pPr>
      <w:r>
        <w:t>HRM-001 — HR Dashboard and Work Centre</w:t>
      </w:r>
    </w:p>
    <w:p>
      <w:pPr>
        <w:spacing w:after="60"/>
      </w:pPr>
      <w:r>
        <w:rPr>
          <w:b/>
          <w:color w:val="17365D"/>
        </w:rPr>
        <w:t xml:space="preserve">Capability tier: </w:t>
      </w:r>
      <w:r>
        <w:t>Essentials</w:t>
      </w:r>
    </w:p>
    <w:p>
      <w:pPr>
        <w:pStyle w:val="ListBullet"/>
      </w:pPr>
      <w:r>
        <w:t>Role-based HR home page</w:t>
      </w:r>
    </w:p>
    <w:p>
      <w:pPr>
        <w:pStyle w:val="ListBullet"/>
      </w:pPr>
      <w:r>
        <w:t>Workforce summary and trends</w:t>
      </w:r>
    </w:p>
    <w:p>
      <w:pPr>
        <w:pStyle w:val="ListBullet"/>
      </w:pPr>
      <w:r>
        <w:t>New starters and leavers</w:t>
      </w:r>
    </w:p>
    <w:p>
      <w:pPr>
        <w:pStyle w:val="ListBullet"/>
      </w:pPr>
      <w:r>
        <w:t>Pending approvals and escalations</w:t>
      </w:r>
    </w:p>
    <w:p>
      <w:pPr>
        <w:pStyle w:val="ListBullet"/>
      </w:pPr>
      <w:r>
        <w:t>Expiring contracts and documents</w:t>
      </w:r>
    </w:p>
    <w:p>
      <w:pPr>
        <w:pStyle w:val="ListBullet"/>
      </w:pPr>
      <w:r>
        <w:t>Leave and attendance exceptions</w:t>
      </w:r>
    </w:p>
    <w:p>
      <w:pPr>
        <w:pStyle w:val="ListBullet"/>
      </w:pPr>
      <w:r>
        <w:t>Payroll and compliance alerts</w:t>
      </w:r>
    </w:p>
    <w:p>
      <w:pPr>
        <w:pStyle w:val="ListBullet"/>
      </w:pPr>
      <w:r>
        <w:t>Recruitment and talent indicators</w:t>
      </w:r>
    </w:p>
    <w:p>
      <w:pPr>
        <w:pStyle w:val="ListBullet"/>
      </w:pPr>
      <w:r>
        <w:t>HR task list and calendar</w:t>
      </w:r>
    </w:p>
    <w:p>
      <w:pPr>
        <w:pStyle w:val="ListBullet"/>
      </w:pPr>
      <w:r>
        <w:t>Configurable widgets</w:t>
      </w:r>
    </w:p>
    <w:p>
      <w:pPr>
        <w:pStyle w:val="ListBullet"/>
      </w:pPr>
      <w:r>
        <w:t>Quick actions</w:t>
      </w:r>
    </w:p>
    <w:p>
      <w:pPr>
        <w:pStyle w:val="ListBullet"/>
      </w:pPr>
      <w:r>
        <w:t>Branch, department and legal-entity filters</w:t>
      </w:r>
    </w:p>
    <w:p>
      <w:pPr>
        <w:pStyle w:val="Heading2"/>
      </w:pPr>
      <w:r>
        <w:t>HRM-002 — Organization Management</w:t>
      </w:r>
    </w:p>
    <w:p>
      <w:pPr>
        <w:spacing w:after="60"/>
      </w:pPr>
      <w:r>
        <w:rPr>
          <w:b/>
          <w:color w:val="17365D"/>
        </w:rPr>
        <w:t xml:space="preserve">Capability tier: </w:t>
      </w:r>
      <w:r>
        <w:t>Essentials</w:t>
      </w:r>
    </w:p>
    <w:p>
      <w:pPr>
        <w:pStyle w:val="ListBullet"/>
      </w:pPr>
      <w:r>
        <w:t>Enterprise and tenant profile</w:t>
      </w:r>
    </w:p>
    <w:p>
      <w:pPr>
        <w:pStyle w:val="ListBullet"/>
      </w:pPr>
      <w:r>
        <w:t>Legal entities and subsidiaries</w:t>
      </w:r>
    </w:p>
    <w:p>
      <w:pPr>
        <w:pStyle w:val="ListBullet"/>
      </w:pPr>
      <w:r>
        <w:t>Business units and divisions</w:t>
      </w:r>
    </w:p>
    <w:p>
      <w:pPr>
        <w:pStyle w:val="ListBullet"/>
      </w:pPr>
      <w:r>
        <w:t>Departments, sections and teams</w:t>
      </w:r>
    </w:p>
    <w:p>
      <w:pPr>
        <w:pStyle w:val="ListBullet"/>
      </w:pPr>
      <w:r>
        <w:t>Branches and work locations</w:t>
      </w:r>
    </w:p>
    <w:p>
      <w:pPr>
        <w:pStyle w:val="ListBullet"/>
      </w:pPr>
      <w:r>
        <w:t>Cost-centre references</w:t>
      </w:r>
    </w:p>
    <w:p>
      <w:pPr>
        <w:pStyle w:val="ListBullet"/>
      </w:pPr>
      <w:r>
        <w:t>Organizational hierarchy</w:t>
      </w:r>
    </w:p>
    <w:p>
      <w:pPr>
        <w:pStyle w:val="ListBullet"/>
      </w:pPr>
      <w:r>
        <w:t>Reporting lines and matrix relationships</w:t>
      </w:r>
    </w:p>
    <w:p>
      <w:pPr>
        <w:pStyle w:val="ListBullet"/>
      </w:pPr>
      <w:r>
        <w:t>Unit leadership assignments</w:t>
      </w:r>
    </w:p>
    <w:p>
      <w:pPr>
        <w:pStyle w:val="ListBullet"/>
      </w:pPr>
      <w:r>
        <w:t>Organization chart</w:t>
      </w:r>
    </w:p>
    <w:p>
      <w:pPr>
        <w:pStyle w:val="ListBullet"/>
      </w:pPr>
      <w:r>
        <w:t>Effective-dated structures</w:t>
      </w:r>
    </w:p>
    <w:p>
      <w:pPr>
        <w:pStyle w:val="ListBullet"/>
      </w:pPr>
      <w:r>
        <w:t>Restructuring, mergers and transfers</w:t>
      </w:r>
    </w:p>
    <w:p>
      <w:pPr>
        <w:pStyle w:val="ListBullet"/>
      </w:pPr>
      <w:r>
        <w:t>Unit activation, suspension and closure</w:t>
      </w:r>
    </w:p>
    <w:p>
      <w:pPr>
        <w:pStyle w:val="ListBullet"/>
      </w:pPr>
      <w:r>
        <w:t>Organization directory</w:t>
      </w:r>
    </w:p>
    <w:p>
      <w:pPr>
        <w:pStyle w:val="ListBullet"/>
      </w:pPr>
      <w:r>
        <w:t>Organization-level policies</w:t>
      </w:r>
    </w:p>
    <w:p>
      <w:pPr>
        <w:pStyle w:val="ListBullet"/>
      </w:pPr>
      <w:r>
        <w:t>Organization audit history</w:t>
      </w:r>
    </w:p>
    <w:p>
      <w:pPr>
        <w:pStyle w:val="Heading2"/>
      </w:pPr>
      <w:r>
        <w:t>HRM-003 — HR Security and Permission Management</w:t>
      </w:r>
    </w:p>
    <w:p>
      <w:pPr>
        <w:spacing w:after="60"/>
      </w:pPr>
      <w:r>
        <w:rPr>
          <w:b/>
          <w:color w:val="17365D"/>
        </w:rPr>
        <w:t xml:space="preserve">Capability tier: </w:t>
      </w:r>
      <w:r>
        <w:t>Essentials</w:t>
      </w:r>
    </w:p>
    <w:p>
      <w:pPr>
        <w:pStyle w:val="ListBullet"/>
      </w:pPr>
      <w:r>
        <w:t>HR module entitlement</w:t>
      </w:r>
    </w:p>
    <w:p>
      <w:pPr>
        <w:pStyle w:val="ListBullet"/>
      </w:pPr>
      <w:r>
        <w:t>Role-based permissions</w:t>
      </w:r>
    </w:p>
    <w:p>
      <w:pPr>
        <w:pStyle w:val="ListBullet"/>
      </w:pPr>
      <w:r>
        <w:t>Attribute- and policy-based rules</w:t>
      </w:r>
    </w:p>
    <w:p>
      <w:pPr>
        <w:pStyle w:val="ListBullet"/>
      </w:pPr>
      <w:r>
        <w:t>Tenant, entity, branch and department scope</w:t>
      </w:r>
    </w:p>
    <w:p>
      <w:pPr>
        <w:pStyle w:val="ListBullet"/>
      </w:pPr>
      <w:r>
        <w:t>Manager and self-service scope</w:t>
      </w:r>
    </w:p>
    <w:p>
      <w:pPr>
        <w:pStyle w:val="ListBullet"/>
      </w:pPr>
      <w:r>
        <w:t>Record-, field- and case-level restrictions</w:t>
      </w:r>
    </w:p>
    <w:p>
      <w:pPr>
        <w:pStyle w:val="ListBullet"/>
      </w:pPr>
      <w:r>
        <w:t>Sensitive payroll and medical permissions</w:t>
      </w:r>
    </w:p>
    <w:p>
      <w:pPr>
        <w:pStyle w:val="ListBullet"/>
      </w:pPr>
      <w:r>
        <w:t>Temporary access and expiry</w:t>
      </w:r>
    </w:p>
    <w:p>
      <w:pPr>
        <w:pStyle w:val="ListBullet"/>
      </w:pPr>
      <w:r>
        <w:t>Delegation and acting authority</w:t>
      </w:r>
    </w:p>
    <w:p>
      <w:pPr>
        <w:pStyle w:val="ListBullet"/>
      </w:pPr>
      <w:r>
        <w:t>Segregation of duties</w:t>
      </w:r>
    </w:p>
    <w:p>
      <w:pPr>
        <w:pStyle w:val="ListBullet"/>
      </w:pPr>
      <w:r>
        <w:t>Emergency access</w:t>
      </w:r>
    </w:p>
    <w:p>
      <w:pPr>
        <w:pStyle w:val="ListBullet"/>
      </w:pPr>
      <w:r>
        <w:t>Access reviews</w:t>
      </w:r>
    </w:p>
    <w:p>
      <w:pPr>
        <w:pStyle w:val="ListBullet"/>
      </w:pPr>
      <w:r>
        <w:t>Export and bulk-action controls</w:t>
      </w:r>
    </w:p>
    <w:p>
      <w:pPr>
        <w:pStyle w:val="ListBullet"/>
      </w:pPr>
      <w:r>
        <w:t>Sensitive-record viewing audit</w:t>
      </w:r>
    </w:p>
    <w:p>
      <w:pPr>
        <w:pStyle w:val="ListBullet"/>
      </w:pPr>
      <w:r>
        <w:t>Identity-provider subject mapping and account correlation</w:t>
      </w:r>
    </w:p>
    <w:p>
      <w:pPr>
        <w:pStyle w:val="ListBullet"/>
      </w:pPr>
      <w:r>
        <w:t>Joiner, mover and leaver identity-lifecycle events</w:t>
      </w:r>
    </w:p>
    <w:p>
      <w:pPr>
        <w:pStyle w:val="ListBullet"/>
      </w:pPr>
      <w:r>
        <w:t>Step-up authentication requirements for sensitive HR actions</w:t>
      </w:r>
    </w:p>
    <w:p>
      <w:pPr>
        <w:pStyle w:val="Heading2"/>
      </w:pPr>
      <w:r>
        <w:t>HRM-004 — HR Configuration and Policy Engine</w:t>
      </w:r>
    </w:p>
    <w:p>
      <w:pPr>
        <w:spacing w:after="60"/>
      </w:pPr>
      <w:r>
        <w:rPr>
          <w:b/>
          <w:color w:val="17365D"/>
        </w:rPr>
        <w:t xml:space="preserve">Capability tier: </w:t>
      </w:r>
      <w:r>
        <w:t>Essentials</w:t>
      </w:r>
    </w:p>
    <w:p>
      <w:pPr>
        <w:pStyle w:val="ListBullet"/>
      </w:pPr>
      <w:r>
        <w:t>Worker and employment types</w:t>
      </w:r>
    </w:p>
    <w:p>
      <w:pPr>
        <w:pStyle w:val="ListBullet"/>
      </w:pPr>
      <w:r>
        <w:t>Contract types</w:t>
      </w:r>
    </w:p>
    <w:p>
      <w:pPr>
        <w:pStyle w:val="ListBullet"/>
      </w:pPr>
      <w:r>
        <w:t>Grades, levels and job classifications</w:t>
      </w:r>
    </w:p>
    <w:p>
      <w:pPr>
        <w:pStyle w:val="ListBullet"/>
      </w:pPr>
      <w:r>
        <w:t>Leave and attendance policies</w:t>
      </w:r>
    </w:p>
    <w:p>
      <w:pPr>
        <w:pStyle w:val="ListBullet"/>
      </w:pPr>
      <w:r>
        <w:t>Probation and notice rules</w:t>
      </w:r>
    </w:p>
    <w:p>
      <w:pPr>
        <w:pStyle w:val="ListBullet"/>
      </w:pPr>
      <w:r>
        <w:t>Work calendars and public holidays</w:t>
      </w:r>
    </w:p>
    <w:p>
      <w:pPr>
        <w:pStyle w:val="ListBullet"/>
      </w:pPr>
      <w:r>
        <w:t>Performance cycles and rating scales</w:t>
      </w:r>
    </w:p>
    <w:p>
      <w:pPr>
        <w:pStyle w:val="ListBullet"/>
      </w:pPr>
      <w:r>
        <w:t>Disciplinary rules</w:t>
      </w:r>
    </w:p>
    <w:p>
      <w:pPr>
        <w:pStyle w:val="ListBullet"/>
      </w:pPr>
      <w:r>
        <w:t>Numbering sequences</w:t>
      </w:r>
    </w:p>
    <w:p>
      <w:pPr>
        <w:pStyle w:val="ListBullet"/>
      </w:pPr>
      <w:r>
        <w:t>Approval policies</w:t>
      </w:r>
    </w:p>
    <w:p>
      <w:pPr>
        <w:pStyle w:val="ListBullet"/>
      </w:pPr>
      <w:r>
        <w:t>Document and notification templates</w:t>
      </w:r>
    </w:p>
    <w:p>
      <w:pPr>
        <w:pStyle w:val="ListBullet"/>
      </w:pPr>
      <w:r>
        <w:t>Custom fields and validation rules</w:t>
      </w:r>
    </w:p>
    <w:p>
      <w:pPr>
        <w:pStyle w:val="ListBullet"/>
      </w:pPr>
      <w:r>
        <w:t>Country and organization configuration</w:t>
      </w:r>
    </w:p>
    <w:p>
      <w:pPr>
        <w:pStyle w:val="ListBullet"/>
      </w:pPr>
      <w:r>
        <w:t>Effective dating, versioning and policy precedence</w:t>
      </w:r>
    </w:p>
    <w:p>
      <w:pPr>
        <w:pStyle w:val="Heading2"/>
      </w:pPr>
      <w:r>
        <w:t>HRM-005 — Workflow, Approvals and Delegation</w:t>
      </w:r>
    </w:p>
    <w:p>
      <w:pPr>
        <w:spacing w:after="60"/>
      </w:pPr>
      <w:r>
        <w:rPr>
          <w:b/>
          <w:color w:val="17365D"/>
        </w:rPr>
        <w:t xml:space="preserve">Capability tier: </w:t>
      </w:r>
      <w:r>
        <w:t>Essentials</w:t>
      </w:r>
    </w:p>
    <w:p>
      <w:pPr>
        <w:pStyle w:val="ListBullet"/>
      </w:pPr>
      <w:r>
        <w:t>Configurable workflows</w:t>
      </w:r>
    </w:p>
    <w:p>
      <w:pPr>
        <w:pStyle w:val="ListBullet"/>
      </w:pPr>
      <w:r>
        <w:t>Sequential and parallel approval</w:t>
      </w:r>
    </w:p>
    <w:p>
      <w:pPr>
        <w:pStyle w:val="ListBullet"/>
      </w:pPr>
      <w:r>
        <w:t>Conditional routing</w:t>
      </w:r>
    </w:p>
    <w:p>
      <w:pPr>
        <w:pStyle w:val="ListBullet"/>
      </w:pPr>
      <w:r>
        <w:t>Threshold-based approval</w:t>
      </w:r>
    </w:p>
    <w:p>
      <w:pPr>
        <w:pStyle w:val="ListBullet"/>
      </w:pPr>
      <w:r>
        <w:t>Approver groups and panels</w:t>
      </w:r>
    </w:p>
    <w:p>
      <w:pPr>
        <w:pStyle w:val="ListBullet"/>
      </w:pPr>
      <w:r>
        <w:t>Delegation and substitute approvers</w:t>
      </w:r>
    </w:p>
    <w:p>
      <w:pPr>
        <w:pStyle w:val="ListBullet"/>
      </w:pPr>
      <w:r>
        <w:t>Deadlines, reminders and escalation</w:t>
      </w:r>
    </w:p>
    <w:p>
      <w:pPr>
        <w:pStyle w:val="ListBullet"/>
      </w:pPr>
      <w:r>
        <w:t>Return for revision</w:t>
      </w:r>
    </w:p>
    <w:p>
      <w:pPr>
        <w:pStyle w:val="ListBullet"/>
      </w:pPr>
      <w:r>
        <w:t>Rejection and cancellation</w:t>
      </w:r>
    </w:p>
    <w:p>
      <w:pPr>
        <w:pStyle w:val="ListBullet"/>
      </w:pPr>
      <w:r>
        <w:t>Reopening and reversal</w:t>
      </w:r>
    </w:p>
    <w:p>
      <w:pPr>
        <w:pStyle w:val="ListBullet"/>
      </w:pPr>
      <w:r>
        <w:t>Workflow versioning</w:t>
      </w:r>
    </w:p>
    <w:p>
      <w:pPr>
        <w:pStyle w:val="ListBullet"/>
      </w:pPr>
      <w:r>
        <w:t>In-flight transaction handling</w:t>
      </w:r>
    </w:p>
    <w:p>
      <w:pPr>
        <w:pStyle w:val="ListBullet"/>
      </w:pPr>
      <w:r>
        <w:t>Approval comments and evidence</w:t>
      </w:r>
    </w:p>
    <w:p>
      <w:pPr>
        <w:pStyle w:val="ListBullet"/>
      </w:pPr>
      <w:r>
        <w:t>Complete approval history</w:t>
      </w:r>
    </w:p>
    <w:p>
      <w:pPr>
        <w:pStyle w:val="Heading2"/>
      </w:pPr>
      <w:r>
        <w:t>HRM-006 — HR Documents and Digital Employee Files</w:t>
      </w:r>
    </w:p>
    <w:p>
      <w:pPr>
        <w:spacing w:after="60"/>
      </w:pPr>
      <w:r>
        <w:rPr>
          <w:b/>
          <w:color w:val="17365D"/>
        </w:rPr>
        <w:t xml:space="preserve">Capability tier: </w:t>
      </w:r>
      <w:r>
        <w:t>Essentials</w:t>
      </w:r>
    </w:p>
    <w:p>
      <w:pPr>
        <w:pStyle w:val="ListBullet"/>
      </w:pPr>
      <w:r>
        <w:t>Digital employee file</w:t>
      </w:r>
    </w:p>
    <w:p>
      <w:pPr>
        <w:pStyle w:val="ListBullet"/>
      </w:pPr>
      <w:r>
        <w:t>Document categories and metadata</w:t>
      </w:r>
    </w:p>
    <w:p>
      <w:pPr>
        <w:pStyle w:val="ListBullet"/>
      </w:pPr>
      <w:r>
        <w:t>Secure upload and malware scanning</w:t>
      </w:r>
    </w:p>
    <w:p>
      <w:pPr>
        <w:pStyle w:val="ListBullet"/>
      </w:pPr>
      <w:r>
        <w:t>Template-based document generation</w:t>
      </w:r>
    </w:p>
    <w:p>
      <w:pPr>
        <w:pStyle w:val="ListBullet"/>
      </w:pPr>
      <w:r>
        <w:t>Electronic signatures</w:t>
      </w:r>
    </w:p>
    <w:p>
      <w:pPr>
        <w:pStyle w:val="ListBullet"/>
      </w:pPr>
      <w:r>
        <w:t>Document versions</w:t>
      </w:r>
    </w:p>
    <w:p>
      <w:pPr>
        <w:pStyle w:val="ListBullet"/>
      </w:pPr>
      <w:r>
        <w:t>Expiry and renewal alerts</w:t>
      </w:r>
    </w:p>
    <w:p>
      <w:pPr>
        <w:pStyle w:val="ListBullet"/>
      </w:pPr>
      <w:r>
        <w:t>Confidentiality classifications</w:t>
      </w:r>
    </w:p>
    <w:p>
      <w:pPr>
        <w:pStyle w:val="ListBullet"/>
      </w:pPr>
      <w:r>
        <w:t>Access and download controls</w:t>
      </w:r>
    </w:p>
    <w:p>
      <w:pPr>
        <w:pStyle w:val="ListBullet"/>
      </w:pPr>
      <w:r>
        <w:t>Retention and archival</w:t>
      </w:r>
    </w:p>
    <w:p>
      <w:pPr>
        <w:pStyle w:val="ListBullet"/>
      </w:pPr>
      <w:r>
        <w:t>Legal holds</w:t>
      </w:r>
    </w:p>
    <w:p>
      <w:pPr>
        <w:pStyle w:val="ListBullet"/>
      </w:pPr>
      <w:r>
        <w:t>Bulk document generation</w:t>
      </w:r>
    </w:p>
    <w:p>
      <w:pPr>
        <w:pStyle w:val="ListBullet"/>
      </w:pPr>
      <w:r>
        <w:t>Verification codes</w:t>
      </w:r>
    </w:p>
    <w:p>
      <w:pPr>
        <w:pStyle w:val="ListBullet"/>
      </w:pPr>
      <w:r>
        <w:t>Download and access history</w:t>
      </w:r>
    </w:p>
    <w:p>
      <w:pPr>
        <w:pStyle w:val="ListBullet"/>
      </w:pPr>
      <w:r>
        <w:t>External document-store and electronic-signature service integration</w:t>
      </w:r>
    </w:p>
    <w:p>
      <w:pPr>
        <w:pStyle w:val="Heading2"/>
      </w:pPr>
      <w:r>
        <w:t>HRM-007 — Notifications, Tasks and HR Calendar</w:t>
      </w:r>
    </w:p>
    <w:p>
      <w:pPr>
        <w:spacing w:after="60"/>
      </w:pPr>
      <w:r>
        <w:rPr>
          <w:b/>
          <w:color w:val="17365D"/>
        </w:rPr>
        <w:t xml:space="preserve">Capability tier: </w:t>
      </w:r>
      <w:r>
        <w:t>Essentials</w:t>
      </w:r>
    </w:p>
    <w:p>
      <w:pPr>
        <w:pStyle w:val="ListBullet"/>
      </w:pPr>
      <w:r>
        <w:t>In-app, email, SMS and push notifications</w:t>
      </w:r>
    </w:p>
    <w:p>
      <w:pPr>
        <w:pStyle w:val="ListBullet"/>
      </w:pPr>
      <w:r>
        <w:t>Task assignment</w:t>
      </w:r>
    </w:p>
    <w:p>
      <w:pPr>
        <w:pStyle w:val="ListBullet"/>
      </w:pPr>
      <w:r>
        <w:t>Due dates and reminders</w:t>
      </w:r>
    </w:p>
    <w:p>
      <w:pPr>
        <w:pStyle w:val="ListBullet"/>
      </w:pPr>
      <w:r>
        <w:t>Escalation</w:t>
      </w:r>
    </w:p>
    <w:p>
      <w:pPr>
        <w:pStyle w:val="ListBullet"/>
      </w:pPr>
      <w:r>
        <w:t>Notification preferences</w:t>
      </w:r>
    </w:p>
    <w:p>
      <w:pPr>
        <w:pStyle w:val="ListBullet"/>
      </w:pPr>
      <w:r>
        <w:t>Confidential message controls</w:t>
      </w:r>
    </w:p>
    <w:p>
      <w:pPr>
        <w:pStyle w:val="ListBullet"/>
      </w:pPr>
      <w:r>
        <w:t>Contract and probation alerts</w:t>
      </w:r>
    </w:p>
    <w:p>
      <w:pPr>
        <w:pStyle w:val="ListBullet"/>
      </w:pPr>
      <w:r>
        <w:t>Certification and document alerts</w:t>
      </w:r>
    </w:p>
    <w:p>
      <w:pPr>
        <w:pStyle w:val="ListBullet"/>
      </w:pPr>
      <w:r>
        <w:t>Birthday and service anniversaries</w:t>
      </w:r>
    </w:p>
    <w:p>
      <w:pPr>
        <w:pStyle w:val="ListBullet"/>
      </w:pPr>
      <w:r>
        <w:t>Onboarding and offboarding tasks</w:t>
      </w:r>
    </w:p>
    <w:p>
      <w:pPr>
        <w:pStyle w:val="ListBullet"/>
      </w:pPr>
      <w:r>
        <w:t>HR events and public holidays</w:t>
      </w:r>
    </w:p>
    <w:p>
      <w:pPr>
        <w:pStyle w:val="ListBullet"/>
      </w:pPr>
      <w:r>
        <w:t>Delivery status and retry</w:t>
      </w:r>
    </w:p>
    <w:p>
      <w:pPr>
        <w:pStyle w:val="ListBullet"/>
      </w:pPr>
      <w:r>
        <w:t>Enterprise communications-layer routing and template references</w:t>
      </w:r>
    </w:p>
    <w:p>
      <w:pPr>
        <w:pStyle w:val="ListBullet"/>
      </w:pPr>
      <w:r>
        <w:t>Channel consent, suppression and delivery-policy enforcement</w:t>
      </w:r>
    </w:p>
    <w:p>
      <w:pPr>
        <w:pStyle w:val="Heading2"/>
      </w:pPr>
      <w:r>
        <w:t>HRM-008 — HR Reporting and Workforce Analytics</w:t>
      </w:r>
    </w:p>
    <w:p>
      <w:pPr>
        <w:spacing w:after="60"/>
      </w:pPr>
      <w:r>
        <w:rPr>
          <w:b/>
          <w:color w:val="17365D"/>
        </w:rPr>
        <w:t xml:space="preserve">Capability tier: </w:t>
      </w:r>
      <w:r>
        <w:t>Essentials</w:t>
      </w:r>
    </w:p>
    <w:p>
      <w:pPr>
        <w:pStyle w:val="ListBullet"/>
      </w:pPr>
      <w:r>
        <w:t>Operational reports</w:t>
      </w:r>
    </w:p>
    <w:p>
      <w:pPr>
        <w:pStyle w:val="ListBullet"/>
      </w:pPr>
      <w:r>
        <w:t>Executive dashboards</w:t>
      </w:r>
    </w:p>
    <w:p>
      <w:pPr>
        <w:pStyle w:val="ListBullet"/>
      </w:pPr>
      <w:r>
        <w:t>Point-in-time and effective-date reporting</w:t>
      </w:r>
    </w:p>
    <w:p>
      <w:pPr>
        <w:pStyle w:val="ListBullet"/>
      </w:pPr>
      <w:r>
        <w:t>Headcount and establishment reporting</w:t>
      </w:r>
    </w:p>
    <w:p>
      <w:pPr>
        <w:pStyle w:val="ListBullet"/>
      </w:pPr>
      <w:r>
        <w:t>Turnover and retention</w:t>
      </w:r>
    </w:p>
    <w:p>
      <w:pPr>
        <w:pStyle w:val="ListBullet"/>
      </w:pPr>
      <w:r>
        <w:t>Recruitment funnel and time to hire</w:t>
      </w:r>
    </w:p>
    <w:p>
      <w:pPr>
        <w:pStyle w:val="ListBullet"/>
      </w:pPr>
      <w:r>
        <w:t>Attendance, absence and overtime</w:t>
      </w:r>
    </w:p>
    <w:p>
      <w:pPr>
        <w:pStyle w:val="ListBullet"/>
      </w:pPr>
      <w:r>
        <w:t>Payroll and workforce cost</w:t>
      </w:r>
    </w:p>
    <w:p>
      <w:pPr>
        <w:pStyle w:val="ListBullet"/>
      </w:pPr>
      <w:r>
        <w:t>Performance, learning and skills</w:t>
      </w:r>
    </w:p>
    <w:p>
      <w:pPr>
        <w:pStyle w:val="ListBullet"/>
      </w:pPr>
      <w:r>
        <w:t>Diversity and pay equity</w:t>
      </w:r>
    </w:p>
    <w:p>
      <w:pPr>
        <w:pStyle w:val="ListBullet"/>
      </w:pPr>
      <w:r>
        <w:t>Case and safety trends</w:t>
      </w:r>
    </w:p>
    <w:p>
      <w:pPr>
        <w:pStyle w:val="ListBullet"/>
      </w:pPr>
      <w:r>
        <w:t>Custom report builder</w:t>
      </w:r>
    </w:p>
    <w:p>
      <w:pPr>
        <w:pStyle w:val="ListBullet"/>
      </w:pPr>
      <w:r>
        <w:t>Scheduled secure distribution</w:t>
      </w:r>
    </w:p>
    <w:p>
      <w:pPr>
        <w:pStyle w:val="ListBullet"/>
      </w:pPr>
      <w:r>
        <w:t>Small-group privacy suppression</w:t>
      </w:r>
    </w:p>
    <w:p>
      <w:pPr>
        <w:pStyle w:val="ListBullet"/>
      </w:pPr>
      <w:r>
        <w:t>Metric definitions and data lineage</w:t>
      </w:r>
    </w:p>
    <w:p>
      <w:pPr>
        <w:pStyle w:val="ListBullet"/>
      </w:pPr>
      <w:r>
        <w:t>Governed HR data products for data lake, warehouse and BI consumption</w:t>
      </w:r>
    </w:p>
    <w:p>
      <w:pPr>
        <w:pStyle w:val="ListBullet"/>
      </w:pPr>
      <w:r>
        <w:t>Incremental extracts, change feeds and historical workforce snapshots</w:t>
      </w:r>
    </w:p>
    <w:p>
      <w:pPr>
        <w:pStyle w:val="ListBullet"/>
      </w:pPr>
      <w:r>
        <w:t>Analytics semantic models and certified workforce measures</w:t>
      </w:r>
    </w:p>
    <w:p>
      <w:pPr>
        <w:pStyle w:val="Heading2"/>
      </w:pPr>
      <w:r>
        <w:t>HRM-009 — HR Integrations, APIs, Events and Sandbox</w:t>
      </w:r>
    </w:p>
    <w:p>
      <w:pPr>
        <w:spacing w:after="60"/>
      </w:pPr>
      <w:r>
        <w:rPr>
          <w:b/>
          <w:color w:val="17365D"/>
        </w:rPr>
        <w:t xml:space="preserve">Capability tier: </w:t>
      </w:r>
      <w:r>
        <w:t>Essentials</w:t>
      </w:r>
    </w:p>
    <w:p>
      <w:pPr>
        <w:pStyle w:val="ListBullet"/>
      </w:pPr>
      <w:r>
        <w:t>Versioned REST APIs</w:t>
      </w:r>
    </w:p>
    <w:p>
      <w:pPr>
        <w:pStyle w:val="ListBullet"/>
      </w:pPr>
      <w:r>
        <w:t>Bulk APIs and file exchange</w:t>
      </w:r>
    </w:p>
    <w:p>
      <w:pPr>
        <w:pStyle w:val="ListBullet"/>
      </w:pPr>
      <w:r>
        <w:t>Inbound and outbound integrations</w:t>
      </w:r>
    </w:p>
    <w:p>
      <w:pPr>
        <w:pStyle w:val="ListBullet"/>
      </w:pPr>
      <w:r>
        <w:t>Business events and webhooks</w:t>
      </w:r>
    </w:p>
    <w:p>
      <w:pPr>
        <w:pStyle w:val="ListBullet"/>
      </w:pPr>
      <w:r>
        <w:t>OAuth scopes and integration roles</w:t>
      </w:r>
    </w:p>
    <w:p>
      <w:pPr>
        <w:pStyle w:val="ListBullet"/>
      </w:pPr>
      <w:r>
        <w:t>Tenant and branch-scoped API access</w:t>
      </w:r>
    </w:p>
    <w:p>
      <w:pPr>
        <w:pStyle w:val="ListBullet"/>
      </w:pPr>
      <w:r>
        <w:t>Developer portal</w:t>
      </w:r>
    </w:p>
    <w:p>
      <w:pPr>
        <w:pStyle w:val="ListBullet"/>
      </w:pPr>
      <w:r>
        <w:t>Synthetic-data API sandbox</w:t>
      </w:r>
    </w:p>
    <w:p>
      <w:pPr>
        <w:pStyle w:val="ListBullet"/>
      </w:pPr>
      <w:r>
        <w:t>Test credentials and applications</w:t>
      </w:r>
    </w:p>
    <w:p>
      <w:pPr>
        <w:pStyle w:val="ListBullet"/>
      </w:pPr>
      <w:r>
        <w:t>Webhook simulator</w:t>
      </w:r>
    </w:p>
    <w:p>
      <w:pPr>
        <w:pStyle w:val="ListBullet"/>
      </w:pPr>
      <w:r>
        <w:t>Request, response and delivery logs</w:t>
      </w:r>
    </w:p>
    <w:p>
      <w:pPr>
        <w:pStyle w:val="ListBullet"/>
      </w:pPr>
      <w:r>
        <w:t>Rate limiting and idempotency</w:t>
      </w:r>
    </w:p>
    <w:p>
      <w:pPr>
        <w:pStyle w:val="ListBullet"/>
      </w:pPr>
      <w:r>
        <w:t>Contract tests and production promotion</w:t>
      </w:r>
    </w:p>
    <w:p>
      <w:pPr>
        <w:pStyle w:val="ListBullet"/>
      </w:pPr>
      <w:r>
        <w:t>Integration monitoring, retry and reconciliation</w:t>
      </w:r>
    </w:p>
    <w:p>
      <w:pPr>
        <w:pStyle w:val="ListBullet"/>
      </w:pPr>
      <w:r>
        <w:t>API versioning and deprecation</w:t>
      </w:r>
    </w:p>
    <w:p>
      <w:pPr>
        <w:pStyle w:val="ListBullet"/>
      </w:pPr>
      <w:r>
        <w:t>API gateway and enterprise service-catalogue registration</w:t>
      </w:r>
    </w:p>
    <w:p>
      <w:pPr>
        <w:pStyle w:val="ListBullet"/>
      </w:pPr>
      <w:r>
        <w:t>Integration-platform and iPaaS connector support</w:t>
      </w:r>
    </w:p>
    <w:p>
      <w:pPr>
        <w:pStyle w:val="ListBullet"/>
      </w:pPr>
      <w:r>
        <w:t>Distributed tracing and cross-platform correlation identifiers</w:t>
      </w:r>
    </w:p>
    <w:p>
      <w:pPr>
        <w:pStyle w:val="ListBullet"/>
      </w:pPr>
      <w:r>
        <w:t>Dead-letter handling, replay controls and operational ownership</w:t>
      </w:r>
    </w:p>
    <w:p>
      <w:pPr>
        <w:pStyle w:val="ListBullet"/>
      </w:pPr>
      <w:r>
        <w:t>Data-lake, search, document, communications and identity connectors</w:t>
      </w:r>
    </w:p>
    <w:p>
      <w:pPr>
        <w:pStyle w:val="Heading2"/>
      </w:pPr>
      <w:r>
        <w:t>HRM-010 — Mobile and Field Workforce Support</w:t>
      </w:r>
    </w:p>
    <w:p>
      <w:pPr>
        <w:spacing w:after="60"/>
      </w:pPr>
      <w:r>
        <w:rPr>
          <w:b/>
          <w:color w:val="17365D"/>
        </w:rPr>
        <w:t xml:space="preserve">Capability tier: </w:t>
      </w:r>
      <w:r>
        <w:t>Essentials</w:t>
      </w:r>
    </w:p>
    <w:p>
      <w:pPr>
        <w:pStyle w:val="ListBullet"/>
      </w:pPr>
      <w:r>
        <w:t>Responsive HR portal</w:t>
      </w:r>
    </w:p>
    <w:p>
      <w:pPr>
        <w:pStyle w:val="ListBullet"/>
      </w:pPr>
      <w:r>
        <w:t>Mobile employee and manager self-service</w:t>
      </w:r>
    </w:p>
    <w:p>
      <w:pPr>
        <w:pStyle w:val="ListBullet"/>
      </w:pPr>
      <w:r>
        <w:t>Mobile attendance and geolocation where lawful</w:t>
      </w:r>
    </w:p>
    <w:p>
      <w:pPr>
        <w:pStyle w:val="ListBullet"/>
      </w:pPr>
      <w:r>
        <w:t>Offline capture and synchronization</w:t>
      </w:r>
    </w:p>
    <w:p>
      <w:pPr>
        <w:pStyle w:val="ListBullet"/>
      </w:pPr>
      <w:r>
        <w:t>Mobile approvals</w:t>
      </w:r>
    </w:p>
    <w:p>
      <w:pPr>
        <w:pStyle w:val="ListBullet"/>
      </w:pPr>
      <w:r>
        <w:t>Payslip and document access</w:t>
      </w:r>
    </w:p>
    <w:p>
      <w:pPr>
        <w:pStyle w:val="ListBullet"/>
      </w:pPr>
      <w:r>
        <w:t>Shift and leave access</w:t>
      </w:r>
    </w:p>
    <w:p>
      <w:pPr>
        <w:pStyle w:val="ListBullet"/>
      </w:pPr>
      <w:r>
        <w:t>Field-worker check-ins</w:t>
      </w:r>
    </w:p>
    <w:p>
      <w:pPr>
        <w:pStyle w:val="ListBullet"/>
      </w:pPr>
      <w:r>
        <w:t>Low-bandwidth mode</w:t>
      </w:r>
    </w:p>
    <w:p>
      <w:pPr>
        <w:pStyle w:val="ListBullet"/>
      </w:pPr>
      <w:r>
        <w:t>Device security</w:t>
      </w:r>
    </w:p>
    <w:p>
      <w:pPr>
        <w:pStyle w:val="ListBullet"/>
      </w:pPr>
      <w:r>
        <w:t>Remote notifications</w:t>
      </w:r>
    </w:p>
    <w:p>
      <w:pPr>
        <w:pStyle w:val="ListBullet"/>
      </w:pPr>
      <w:r>
        <w:t>Conflict handling after offline changes</w:t>
      </w:r>
    </w:p>
    <w:p>
      <w:pPr>
        <w:pStyle w:val="Heading2"/>
      </w:pPr>
      <w:r>
        <w:t>HRM-011 — HR Data Quality and Stewardship</w:t>
      </w:r>
    </w:p>
    <w:p>
      <w:pPr>
        <w:spacing w:after="60"/>
      </w:pPr>
      <w:r>
        <w:rPr>
          <w:b/>
          <w:color w:val="17365D"/>
        </w:rPr>
        <w:t xml:space="preserve">Capability tier: </w:t>
      </w:r>
      <w:r>
        <w:t>Essentials</w:t>
      </w:r>
    </w:p>
    <w:p>
      <w:pPr>
        <w:pStyle w:val="ListBullet"/>
      </w:pPr>
      <w:r>
        <w:t>Required-field completeness</w:t>
      </w:r>
    </w:p>
    <w:p>
      <w:pPr>
        <w:pStyle w:val="ListBullet"/>
      </w:pPr>
      <w:r>
        <w:t>Duplicate-person detection</w:t>
      </w:r>
    </w:p>
    <w:p>
      <w:pPr>
        <w:pStyle w:val="ListBullet"/>
      </w:pPr>
      <w:r>
        <w:t>Record merge and incorrect-merge reversal</w:t>
      </w:r>
    </w:p>
    <w:p>
      <w:pPr>
        <w:pStyle w:val="ListBullet"/>
      </w:pPr>
      <w:r>
        <w:t>Cross-record consistency</w:t>
      </w:r>
    </w:p>
    <w:p>
      <w:pPr>
        <w:pStyle w:val="ListBullet"/>
      </w:pPr>
      <w:r>
        <w:t>Orphaned-record detection</w:t>
      </w:r>
    </w:p>
    <w:p>
      <w:pPr>
        <w:pStyle w:val="ListBullet"/>
      </w:pPr>
      <w:r>
        <w:t>Data-quality rules and dashboard</w:t>
      </w:r>
    </w:p>
    <w:p>
      <w:pPr>
        <w:pStyle w:val="ListBullet"/>
      </w:pPr>
      <w:r>
        <w:t>Correction workflows</w:t>
      </w:r>
    </w:p>
    <w:p>
      <w:pPr>
        <w:pStyle w:val="ListBullet"/>
      </w:pPr>
      <w:r>
        <w:t>Data steward assignments</w:t>
      </w:r>
    </w:p>
    <w:p>
      <w:pPr>
        <w:pStyle w:val="ListBullet"/>
      </w:pPr>
      <w:r>
        <w:t>Source-system tracking</w:t>
      </w:r>
    </w:p>
    <w:p>
      <w:pPr>
        <w:pStyle w:val="ListBullet"/>
      </w:pPr>
      <w:r>
        <w:t>Data lineage</w:t>
      </w:r>
    </w:p>
    <w:p>
      <w:pPr>
        <w:pStyle w:val="ListBullet"/>
      </w:pPr>
      <w:r>
        <w:t>Mass correction</w:t>
      </w:r>
    </w:p>
    <w:p>
      <w:pPr>
        <w:pStyle w:val="ListBullet"/>
      </w:pPr>
      <w:r>
        <w:t>Import and integration reconciliation</w:t>
      </w:r>
    </w:p>
    <w:p>
      <w:pPr>
        <w:pStyle w:val="ListBullet"/>
      </w:pPr>
      <w:r>
        <w:t>Historical data validation</w:t>
      </w:r>
    </w:p>
    <w:p>
      <w:pPr>
        <w:pStyle w:val="Heading2"/>
      </w:pPr>
      <w:r>
        <w:t>HRM-012 — Flexible Forms and HR Process Builder</w:t>
      </w:r>
    </w:p>
    <w:p>
      <w:pPr>
        <w:spacing w:after="60"/>
      </w:pPr>
      <w:r>
        <w:rPr>
          <w:b/>
          <w:color w:val="17365D"/>
        </w:rPr>
        <w:t xml:space="preserve">Capability tier: </w:t>
      </w:r>
      <w:r>
        <w:t>Advanced</w:t>
      </w:r>
    </w:p>
    <w:p>
      <w:pPr>
        <w:pStyle w:val="ListBullet"/>
      </w:pPr>
      <w:r>
        <w:t>Custom forms and sections</w:t>
      </w:r>
    </w:p>
    <w:p>
      <w:pPr>
        <w:pStyle w:val="ListBullet"/>
      </w:pPr>
      <w:r>
        <w:t>Custom and calculated fields</w:t>
      </w:r>
    </w:p>
    <w:p>
      <w:pPr>
        <w:pStyle w:val="ListBullet"/>
      </w:pPr>
      <w:r>
        <w:t>Conditional visibility</w:t>
      </w:r>
    </w:p>
    <w:p>
      <w:pPr>
        <w:pStyle w:val="ListBullet"/>
      </w:pPr>
      <w:r>
        <w:t>Validation rules</w:t>
      </w:r>
    </w:p>
    <w:p>
      <w:pPr>
        <w:pStyle w:val="ListBullet"/>
      </w:pPr>
      <w:r>
        <w:t>Role-based field access</w:t>
      </w:r>
    </w:p>
    <w:p>
      <w:pPr>
        <w:pStyle w:val="ListBullet"/>
      </w:pPr>
      <w:r>
        <w:t>Configurable approvals</w:t>
      </w:r>
    </w:p>
    <w:p>
      <w:pPr>
        <w:pStyle w:val="ListBullet"/>
      </w:pPr>
      <w:r>
        <w:t>Automated tasks and notifications</w:t>
      </w:r>
    </w:p>
    <w:p>
      <w:pPr>
        <w:pStyle w:val="ListBullet"/>
      </w:pPr>
      <w:r>
        <w:t>Document generation</w:t>
      </w:r>
    </w:p>
    <w:p>
      <w:pPr>
        <w:pStyle w:val="ListBullet"/>
      </w:pPr>
      <w:r>
        <w:t>Webhooks</w:t>
      </w:r>
    </w:p>
    <w:p>
      <w:pPr>
        <w:pStyle w:val="ListBullet"/>
      </w:pPr>
      <w:r>
        <w:t>Draft and publish</w:t>
      </w:r>
    </w:p>
    <w:p>
      <w:pPr>
        <w:pStyle w:val="ListBullet"/>
      </w:pPr>
      <w:r>
        <w:t>Versioning</w:t>
      </w:r>
    </w:p>
    <w:p>
      <w:pPr>
        <w:pStyle w:val="ListBullet"/>
      </w:pPr>
      <w:r>
        <w:t>Sandbox testing</w:t>
      </w:r>
    </w:p>
    <w:p>
      <w:pPr>
        <w:pStyle w:val="ListBullet"/>
      </w:pPr>
      <w:r>
        <w:t>Configuration migration</w:t>
      </w:r>
    </w:p>
    <w:p>
      <w:pPr>
        <w:pStyle w:val="ListBullet"/>
      </w:pPr>
      <w:r>
        <w:t>Usage and configuration audit</w:t>
      </w:r>
    </w:p>
    <w:p>
      <w:r>
        <w:br w:type="page"/>
      </w:r>
    </w:p>
    <w:p>
      <w:pPr>
        <w:pStyle w:val="Heading1"/>
      </w:pPr>
      <w:r>
        <w:t>B. Workforce Structure, People and Employment</w:t>
      </w:r>
    </w:p>
    <w:p>
      <w:r>
        <w:t>The structural and legal foundation for organizing people, work, positions, relationships and assignments.</w:t>
      </w:r>
    </w:p>
    <w:p>
      <w:pPr>
        <w:pStyle w:val="Heading2"/>
      </w:pPr>
      <w:r>
        <w:t>HRM-013 — Job and Position Management</w:t>
      </w:r>
    </w:p>
    <w:p>
      <w:pPr>
        <w:spacing w:after="60"/>
      </w:pPr>
      <w:r>
        <w:rPr>
          <w:b/>
          <w:color w:val="17365D"/>
        </w:rPr>
        <w:t xml:space="preserve">Capability tier: </w:t>
      </w:r>
      <w:r>
        <w:t>Essentials</w:t>
      </w:r>
    </w:p>
    <w:p>
      <w:pPr>
        <w:pStyle w:val="ListBullet"/>
      </w:pPr>
      <w:r>
        <w:t>Job families, categories and occupations</w:t>
      </w:r>
    </w:p>
    <w:p>
      <w:pPr>
        <w:pStyle w:val="ListBullet"/>
      </w:pPr>
      <w:r>
        <w:t>Job titles and descriptions</w:t>
      </w:r>
    </w:p>
    <w:p>
      <w:pPr>
        <w:pStyle w:val="ListBullet"/>
      </w:pPr>
      <w:r>
        <w:t>Grades and levels</w:t>
      </w:r>
    </w:p>
    <w:p>
      <w:pPr>
        <w:pStyle w:val="ListBullet"/>
      </w:pPr>
      <w:r>
        <w:t>Position creation and numbering</w:t>
      </w:r>
    </w:p>
    <w:p>
      <w:pPr>
        <w:pStyle w:val="ListBullet"/>
      </w:pPr>
      <w:r>
        <w:t>Vacant, filled, frozen and closed positions</w:t>
      </w:r>
    </w:p>
    <w:p>
      <w:pPr>
        <w:pStyle w:val="ListBullet"/>
      </w:pPr>
      <w:r>
        <w:t>Position headcount and FTE</w:t>
      </w:r>
    </w:p>
    <w:p>
      <w:pPr>
        <w:pStyle w:val="ListBullet"/>
      </w:pPr>
      <w:r>
        <w:t>Position funding and budget</w:t>
      </w:r>
    </w:p>
    <w:p>
      <w:pPr>
        <w:pStyle w:val="ListBullet"/>
      </w:pPr>
      <w:r>
        <w:t>Position pools and job sharing</w:t>
      </w:r>
    </w:p>
    <w:p>
      <w:pPr>
        <w:pStyle w:val="ListBullet"/>
      </w:pPr>
      <w:r>
        <w:t>Acting and temporary positions</w:t>
      </w:r>
    </w:p>
    <w:p>
      <w:pPr>
        <w:pStyle w:val="ListBullet"/>
      </w:pPr>
      <w:r>
        <w:t>Required qualifications and competencies</w:t>
      </w:r>
    </w:p>
    <w:p>
      <w:pPr>
        <w:pStyle w:val="ListBullet"/>
      </w:pPr>
      <w:r>
        <w:t>Salary ranges</w:t>
      </w:r>
    </w:p>
    <w:p>
      <w:pPr>
        <w:pStyle w:val="ListBullet"/>
      </w:pPr>
      <w:r>
        <w:t>Position approval</w:t>
      </w:r>
    </w:p>
    <w:p>
      <w:pPr>
        <w:pStyle w:val="ListBullet"/>
      </w:pPr>
      <w:r>
        <w:t>Position hierarchy and incumbency</w:t>
      </w:r>
    </w:p>
    <w:p>
      <w:pPr>
        <w:pStyle w:val="ListBullet"/>
      </w:pPr>
      <w:r>
        <w:t>Position history and effective dates</w:t>
      </w:r>
    </w:p>
    <w:p>
      <w:pPr>
        <w:pStyle w:val="ListBullet"/>
      </w:pPr>
      <w:r>
        <w:t>Critical-position designation</w:t>
      </w:r>
    </w:p>
    <w:p>
      <w:pPr>
        <w:pStyle w:val="Heading2"/>
      </w:pPr>
      <w:r>
        <w:t>HRM-014 — Workforce Planning and Establishment Control</w:t>
      </w:r>
    </w:p>
    <w:p>
      <w:pPr>
        <w:spacing w:after="60"/>
      </w:pPr>
      <w:r>
        <w:rPr>
          <w:b/>
          <w:color w:val="17365D"/>
        </w:rPr>
        <w:t xml:space="preserve">Capability tier: </w:t>
      </w:r>
      <w:r>
        <w:t>Advanced</w:t>
      </w:r>
    </w:p>
    <w:p>
      <w:pPr>
        <w:pStyle w:val="ListBullet"/>
      </w:pPr>
      <w:r>
        <w:t>Approved establishment</w:t>
      </w:r>
    </w:p>
    <w:p>
      <w:pPr>
        <w:pStyle w:val="ListBullet"/>
      </w:pPr>
      <w:r>
        <w:t>Actual versus planned headcount</w:t>
      </w:r>
    </w:p>
    <w:p>
      <w:pPr>
        <w:pStyle w:val="ListBullet"/>
      </w:pPr>
      <w:r>
        <w:t>Staffing plans</w:t>
      </w:r>
    </w:p>
    <w:p>
      <w:pPr>
        <w:pStyle w:val="ListBullet"/>
      </w:pPr>
      <w:r>
        <w:t>Vacancy and replacement planning</w:t>
      </w:r>
    </w:p>
    <w:p>
      <w:pPr>
        <w:pStyle w:val="ListBullet"/>
      </w:pPr>
      <w:r>
        <w:t>Headcount requests</w:t>
      </w:r>
    </w:p>
    <w:p>
      <w:pPr>
        <w:pStyle w:val="ListBullet"/>
      </w:pPr>
      <w:r>
        <w:t>Position-budget validation</w:t>
      </w:r>
    </w:p>
    <w:p>
      <w:pPr>
        <w:pStyle w:val="ListBullet"/>
      </w:pPr>
      <w:r>
        <w:t>Workforce cost plans</w:t>
      </w:r>
    </w:p>
    <w:p>
      <w:pPr>
        <w:pStyle w:val="ListBullet"/>
      </w:pPr>
      <w:r>
        <w:t>Skills-gap plans</w:t>
      </w:r>
    </w:p>
    <w:p>
      <w:pPr>
        <w:pStyle w:val="ListBullet"/>
      </w:pPr>
      <w:r>
        <w:t>Demand forecasting</w:t>
      </w:r>
    </w:p>
    <w:p>
      <w:pPr>
        <w:pStyle w:val="ListBullet"/>
      </w:pPr>
      <w:r>
        <w:t>Scenario modelling</w:t>
      </w:r>
    </w:p>
    <w:p>
      <w:pPr>
        <w:pStyle w:val="ListBullet"/>
      </w:pPr>
      <w:r>
        <w:t>Permanent versus contingent mix</w:t>
      </w:r>
    </w:p>
    <w:p>
      <w:pPr>
        <w:pStyle w:val="ListBullet"/>
      </w:pPr>
      <w:r>
        <w:t>Project-funded positions</w:t>
      </w:r>
    </w:p>
    <w:p>
      <w:pPr>
        <w:pStyle w:val="ListBullet"/>
      </w:pPr>
      <w:r>
        <w:t>Regulatory staffing ratios</w:t>
      </w:r>
    </w:p>
    <w:p>
      <w:pPr>
        <w:pStyle w:val="ListBullet"/>
      </w:pPr>
      <w:r>
        <w:t>Filled-above-establishment exceptions</w:t>
      </w:r>
    </w:p>
    <w:p>
      <w:pPr>
        <w:pStyle w:val="ListBullet"/>
      </w:pPr>
      <w:r>
        <w:t>Succession and critical-role risk</w:t>
      </w:r>
    </w:p>
    <w:p>
      <w:pPr>
        <w:pStyle w:val="Heading2"/>
      </w:pPr>
      <w:r>
        <w:t>HRM-015 — People and Worker Records</w:t>
      </w:r>
    </w:p>
    <w:p>
      <w:pPr>
        <w:spacing w:after="60"/>
      </w:pPr>
      <w:r>
        <w:rPr>
          <w:b/>
          <w:color w:val="17365D"/>
        </w:rPr>
        <w:t xml:space="preserve">Capability tier: </w:t>
      </w:r>
      <w:r>
        <w:t>Essentials</w:t>
      </w:r>
    </w:p>
    <w:p>
      <w:pPr>
        <w:pStyle w:val="ListBullet"/>
      </w:pPr>
      <w:r>
        <w:t>Legal and preferred names</w:t>
      </w:r>
    </w:p>
    <w:p>
      <w:pPr>
        <w:pStyle w:val="ListBullet"/>
      </w:pPr>
      <w:r>
        <w:t>Photograph and contact details</w:t>
      </w:r>
    </w:p>
    <w:p>
      <w:pPr>
        <w:pStyle w:val="ListBullet"/>
      </w:pPr>
      <w:r>
        <w:t>Addresses and contact preferences</w:t>
      </w:r>
    </w:p>
    <w:p>
      <w:pPr>
        <w:pStyle w:val="ListBullet"/>
      </w:pPr>
      <w:r>
        <w:t>Nationality and residency</w:t>
      </w:r>
    </w:p>
    <w:p>
      <w:pPr>
        <w:pStyle w:val="ListBullet"/>
      </w:pPr>
      <w:r>
        <w:t>NRC, passport and other identifiers</w:t>
      </w:r>
    </w:p>
    <w:p>
      <w:pPr>
        <w:pStyle w:val="ListBullet"/>
      </w:pPr>
      <w:r>
        <w:t>Emergency contacts and next of kin</w:t>
      </w:r>
    </w:p>
    <w:p>
      <w:pPr>
        <w:pStyle w:val="ListBullet"/>
      </w:pPr>
      <w:r>
        <w:t>Dependants and beneficiaries</w:t>
      </w:r>
    </w:p>
    <w:p>
      <w:pPr>
        <w:pStyle w:val="ListBullet"/>
      </w:pPr>
      <w:r>
        <w:t>Demographic information</w:t>
      </w:r>
    </w:p>
    <w:p>
      <w:pPr>
        <w:pStyle w:val="ListBullet"/>
      </w:pPr>
      <w:r>
        <w:t>Education and qualifications</w:t>
      </w:r>
    </w:p>
    <w:p>
      <w:pPr>
        <w:pStyle w:val="ListBullet"/>
      </w:pPr>
      <w:r>
        <w:t>Professional memberships</w:t>
      </w:r>
    </w:p>
    <w:p>
      <w:pPr>
        <w:pStyle w:val="ListBullet"/>
      </w:pPr>
      <w:r>
        <w:t>Skills and languages</w:t>
      </w:r>
    </w:p>
    <w:p>
      <w:pPr>
        <w:pStyle w:val="ListBullet"/>
      </w:pPr>
      <w:r>
        <w:t>Work experience</w:t>
      </w:r>
    </w:p>
    <w:p>
      <w:pPr>
        <w:pStyle w:val="ListBullet"/>
      </w:pPr>
      <w:r>
        <w:t>Accessibility accommodations</w:t>
      </w:r>
    </w:p>
    <w:p>
      <w:pPr>
        <w:pStyle w:val="ListBullet"/>
      </w:pPr>
      <w:r>
        <w:t>Bank and statutory details</w:t>
      </w:r>
    </w:p>
    <w:p>
      <w:pPr>
        <w:pStyle w:val="ListBullet"/>
      </w:pPr>
      <w:r>
        <w:t>Employee number and status</w:t>
      </w:r>
    </w:p>
    <w:p>
      <w:pPr>
        <w:pStyle w:val="ListBullet"/>
      </w:pPr>
      <w:r>
        <w:t>Documents and notes</w:t>
      </w:r>
    </w:p>
    <w:p>
      <w:pPr>
        <w:pStyle w:val="ListBullet"/>
      </w:pPr>
      <w:r>
        <w:t>Employment and assignment history</w:t>
      </w:r>
    </w:p>
    <w:p>
      <w:pPr>
        <w:pStyle w:val="ListBullet"/>
      </w:pPr>
      <w:r>
        <w:t>Data-change requests</w:t>
      </w:r>
    </w:p>
    <w:p>
      <w:pPr>
        <w:pStyle w:val="ListBullet"/>
      </w:pPr>
      <w:r>
        <w:t>Record completeness and confidentiality</w:t>
      </w:r>
    </w:p>
    <w:p>
      <w:pPr>
        <w:pStyle w:val="Heading2"/>
      </w:pPr>
      <w:r>
        <w:t>HRM-016 — Employment and Contract Management</w:t>
      </w:r>
    </w:p>
    <w:p>
      <w:pPr>
        <w:spacing w:after="60"/>
      </w:pPr>
      <w:r>
        <w:rPr>
          <w:b/>
          <w:color w:val="17365D"/>
        </w:rPr>
        <w:t xml:space="preserve">Capability tier: </w:t>
      </w:r>
      <w:r>
        <w:t>Essentials</w:t>
      </w:r>
    </w:p>
    <w:p>
      <w:pPr>
        <w:pStyle w:val="ListBullet"/>
      </w:pPr>
      <w:r>
        <w:t>Permanent, fixed-term, part-time and temporary employment</w:t>
      </w:r>
    </w:p>
    <w:p>
      <w:pPr>
        <w:pStyle w:val="ListBullet"/>
      </w:pPr>
      <w:r>
        <w:t>Casual, internship, apprenticeship and volunteer engagements</w:t>
      </w:r>
    </w:p>
    <w:p>
      <w:pPr>
        <w:pStyle w:val="ListBullet"/>
      </w:pPr>
      <w:r>
        <w:t>Consultancy and agency relationships</w:t>
      </w:r>
    </w:p>
    <w:p>
      <w:pPr>
        <w:pStyle w:val="ListBullet"/>
      </w:pPr>
      <w:r>
        <w:t>Contract creation and approval</w:t>
      </w:r>
    </w:p>
    <w:p>
      <w:pPr>
        <w:pStyle w:val="ListBullet"/>
      </w:pPr>
      <w:r>
        <w:t>Electronic signing</w:t>
      </w:r>
    </w:p>
    <w:p>
      <w:pPr>
        <w:pStyle w:val="ListBullet"/>
      </w:pPr>
      <w:r>
        <w:t>Terms and conditions</w:t>
      </w:r>
    </w:p>
    <w:p>
      <w:pPr>
        <w:pStyle w:val="ListBullet"/>
      </w:pPr>
      <w:r>
        <w:t>Working hours and work pattern</w:t>
      </w:r>
    </w:p>
    <w:p>
      <w:pPr>
        <w:pStyle w:val="ListBullet"/>
      </w:pPr>
      <w:r>
        <w:t>Probation and notice</w:t>
      </w:r>
    </w:p>
    <w:p>
      <w:pPr>
        <w:pStyle w:val="ListBullet"/>
      </w:pPr>
      <w:r>
        <w:t>Contract amendment</w:t>
      </w:r>
    </w:p>
    <w:p>
      <w:pPr>
        <w:pStyle w:val="ListBullet"/>
      </w:pPr>
      <w:r>
        <w:t>Renewal and extension</w:t>
      </w:r>
    </w:p>
    <w:p>
      <w:pPr>
        <w:pStyle w:val="ListBullet"/>
      </w:pPr>
      <w:r>
        <w:t>Suspension and expiry</w:t>
      </w:r>
    </w:p>
    <w:p>
      <w:pPr>
        <w:pStyle w:val="ListBullet"/>
      </w:pPr>
      <w:r>
        <w:t>Contract version and history</w:t>
      </w:r>
    </w:p>
    <w:p>
      <w:pPr>
        <w:pStyle w:val="ListBullet"/>
      </w:pPr>
      <w:r>
        <w:t>Expiry alerts</w:t>
      </w:r>
    </w:p>
    <w:p>
      <w:pPr>
        <w:pStyle w:val="ListBullet"/>
      </w:pPr>
      <w:r>
        <w:t>Legal employer and assignment linkage</w:t>
      </w:r>
    </w:p>
    <w:p>
      <w:pPr>
        <w:pStyle w:val="Heading2"/>
      </w:pPr>
      <w:r>
        <w:t>HRM-017 — Employee Movement and Career Changes</w:t>
      </w:r>
    </w:p>
    <w:p>
      <w:pPr>
        <w:spacing w:after="60"/>
      </w:pPr>
      <w:r>
        <w:rPr>
          <w:b/>
          <w:color w:val="17365D"/>
        </w:rPr>
        <w:t xml:space="preserve">Capability tier: </w:t>
      </w:r>
      <w:r>
        <w:t>Essentials</w:t>
      </w:r>
    </w:p>
    <w:p>
      <w:pPr>
        <w:pStyle w:val="ListBullet"/>
      </w:pPr>
      <w:r>
        <w:t>Probation confirmation and extension</w:t>
      </w:r>
    </w:p>
    <w:p>
      <w:pPr>
        <w:pStyle w:val="ListBullet"/>
      </w:pPr>
      <w:r>
        <w:t>Promotion and demotion</w:t>
      </w:r>
    </w:p>
    <w:p>
      <w:pPr>
        <w:pStyle w:val="ListBullet"/>
      </w:pPr>
      <w:r>
        <w:t>Department and branch transfer</w:t>
      </w:r>
    </w:p>
    <w:p>
      <w:pPr>
        <w:pStyle w:val="ListBullet"/>
      </w:pPr>
      <w:r>
        <w:t>Relocation</w:t>
      </w:r>
    </w:p>
    <w:p>
      <w:pPr>
        <w:pStyle w:val="ListBullet"/>
      </w:pPr>
      <w:r>
        <w:t>Secondment</w:t>
      </w:r>
    </w:p>
    <w:p>
      <w:pPr>
        <w:pStyle w:val="ListBullet"/>
      </w:pPr>
      <w:r>
        <w:t>Acting appointment</w:t>
      </w:r>
    </w:p>
    <w:p>
      <w:pPr>
        <w:pStyle w:val="ListBullet"/>
      </w:pPr>
      <w:r>
        <w:t>Temporary assignment</w:t>
      </w:r>
    </w:p>
    <w:p>
      <w:pPr>
        <w:pStyle w:val="ListBullet"/>
      </w:pPr>
      <w:r>
        <w:t>Job rotation</w:t>
      </w:r>
    </w:p>
    <w:p>
      <w:pPr>
        <w:pStyle w:val="ListBullet"/>
      </w:pPr>
      <w:r>
        <w:t>Manager change</w:t>
      </w:r>
    </w:p>
    <w:p>
      <w:pPr>
        <w:pStyle w:val="ListBullet"/>
      </w:pPr>
      <w:r>
        <w:t>Grade and salary-change request</w:t>
      </w:r>
    </w:p>
    <w:p>
      <w:pPr>
        <w:pStyle w:val="ListBullet"/>
      </w:pPr>
      <w:r>
        <w:t>Contract conversion</w:t>
      </w:r>
    </w:p>
    <w:p>
      <w:pPr>
        <w:pStyle w:val="ListBullet"/>
      </w:pPr>
      <w:r>
        <w:t>Return from suspension or extended leave</w:t>
      </w:r>
    </w:p>
    <w:p>
      <w:pPr>
        <w:pStyle w:val="ListBullet"/>
      </w:pPr>
      <w:r>
        <w:t>Multiple assignments</w:t>
      </w:r>
    </w:p>
    <w:p>
      <w:pPr>
        <w:pStyle w:val="ListBullet"/>
      </w:pPr>
      <w:r>
        <w:t>Mass transfer</w:t>
      </w:r>
    </w:p>
    <w:p>
      <w:pPr>
        <w:pStyle w:val="ListBullet"/>
      </w:pPr>
      <w:r>
        <w:t>Effective-dated movement history</w:t>
      </w:r>
    </w:p>
    <w:p>
      <w:pPr>
        <w:pStyle w:val="ListBullet"/>
      </w:pPr>
      <w:r>
        <w:t>Impact on payroll, access and reporting</w:t>
      </w:r>
    </w:p>
    <w:p>
      <w:pPr>
        <w:pStyle w:val="Heading2"/>
      </w:pPr>
      <w:r>
        <w:t>HRM-018 — Contingent and External Workforce Management</w:t>
      </w:r>
    </w:p>
    <w:p>
      <w:pPr>
        <w:spacing w:after="60"/>
      </w:pPr>
      <w:r>
        <w:rPr>
          <w:b/>
          <w:color w:val="17365D"/>
        </w:rPr>
        <w:t xml:space="preserve">Capability tier: </w:t>
      </w:r>
      <w:r>
        <w:t>Advanced</w:t>
      </w:r>
    </w:p>
    <w:p>
      <w:pPr>
        <w:pStyle w:val="ListBullet"/>
      </w:pPr>
      <w:r>
        <w:t>Contractors, consultants and agency workers</w:t>
      </w:r>
    </w:p>
    <w:p>
      <w:pPr>
        <w:pStyle w:val="ListBullet"/>
      </w:pPr>
      <w:r>
        <w:t>Volunteers, interns and outsourced personnel</w:t>
      </w:r>
    </w:p>
    <w:p>
      <w:pPr>
        <w:pStyle w:val="ListBullet"/>
      </w:pPr>
      <w:r>
        <w:t>Vendor and sponsor linkage</w:t>
      </w:r>
    </w:p>
    <w:p>
      <w:pPr>
        <w:pStyle w:val="ListBullet"/>
      </w:pPr>
      <w:r>
        <w:t>Contract and statement-of-work reference</w:t>
      </w:r>
    </w:p>
    <w:p>
      <w:pPr>
        <w:pStyle w:val="ListBullet"/>
      </w:pPr>
      <w:r>
        <w:t>Supervisor, location and assignment</w:t>
      </w:r>
    </w:p>
    <w:p>
      <w:pPr>
        <w:pStyle w:val="ListBullet"/>
      </w:pPr>
      <w:r>
        <w:t>Rate and timesheet references</w:t>
      </w:r>
    </w:p>
    <w:p>
      <w:pPr>
        <w:pStyle w:val="ListBullet"/>
      </w:pPr>
      <w:r>
        <w:t>Access, equipment and training requirements</w:t>
      </w:r>
    </w:p>
    <w:p>
      <w:pPr>
        <w:pStyle w:val="ListBullet"/>
      </w:pPr>
      <w:r>
        <w:t>Background and credential checks</w:t>
      </w:r>
    </w:p>
    <w:p>
      <w:pPr>
        <w:pStyle w:val="ListBullet"/>
      </w:pPr>
      <w:r>
        <w:t>Start, expiry and extension</w:t>
      </w:r>
    </w:p>
    <w:p>
      <w:pPr>
        <w:pStyle w:val="ListBullet"/>
      </w:pPr>
      <w:r>
        <w:t>Conversion between employee and contingent worker</w:t>
      </w:r>
    </w:p>
    <w:p>
      <w:pPr>
        <w:pStyle w:val="ListBullet"/>
      </w:pPr>
      <w:r>
        <w:t>External-worker offboarding</w:t>
      </w:r>
    </w:p>
    <w:p>
      <w:pPr>
        <w:pStyle w:val="ListBullet"/>
      </w:pPr>
      <w:r>
        <w:t>Vendor performance</w:t>
      </w:r>
    </w:p>
    <w:p>
      <w:pPr>
        <w:pStyle w:val="ListBullet"/>
      </w:pPr>
      <w:r>
        <w:t>Employee-versus-contingent cost and headcount reporting</w:t>
      </w:r>
    </w:p>
    <w:p>
      <w:pPr>
        <w:pStyle w:val="Heading2"/>
      </w:pPr>
      <w:r>
        <w:t>HRM-019 — Global Mobility and International Assignments</w:t>
      </w:r>
    </w:p>
    <w:p>
      <w:pPr>
        <w:spacing w:after="60"/>
      </w:pPr>
      <w:r>
        <w:rPr>
          <w:b/>
          <w:color w:val="17365D"/>
        </w:rPr>
        <w:t xml:space="preserve">Capability tier: </w:t>
      </w:r>
      <w:r>
        <w:t>Enterprise</w:t>
      </w:r>
    </w:p>
    <w:p>
      <w:pPr>
        <w:pStyle w:val="ListBullet"/>
      </w:pPr>
      <w:r>
        <w:t>Domestic and international assignments</w:t>
      </w:r>
    </w:p>
    <w:p>
      <w:pPr>
        <w:pStyle w:val="ListBullet"/>
      </w:pPr>
      <w:r>
        <w:t>Home and host organization</w:t>
      </w:r>
    </w:p>
    <w:p>
      <w:pPr>
        <w:pStyle w:val="ListBullet"/>
      </w:pPr>
      <w:r>
        <w:t>Home and host position</w:t>
      </w:r>
    </w:p>
    <w:p>
      <w:pPr>
        <w:pStyle w:val="ListBullet"/>
      </w:pPr>
      <w:r>
        <w:t>Secondment and permanent transfer</w:t>
      </w:r>
    </w:p>
    <w:p>
      <w:pPr>
        <w:pStyle w:val="ListBullet"/>
      </w:pPr>
      <w:r>
        <w:t>Concurrent employment</w:t>
      </w:r>
    </w:p>
    <w:p>
      <w:pPr>
        <w:pStyle w:val="ListBullet"/>
      </w:pPr>
      <w:r>
        <w:t>Assignment package and allowances</w:t>
      </w:r>
    </w:p>
    <w:p>
      <w:pPr>
        <w:pStyle w:val="ListBullet"/>
      </w:pPr>
      <w:r>
        <w:t>Relocation support</w:t>
      </w:r>
    </w:p>
    <w:p>
      <w:pPr>
        <w:pStyle w:val="ListBullet"/>
      </w:pPr>
      <w:r>
        <w:t>Passport, visa and work permit</w:t>
      </w:r>
    </w:p>
    <w:p>
      <w:pPr>
        <w:pStyle w:val="ListBullet"/>
      </w:pPr>
      <w:r>
        <w:t>Family and dependant relocation</w:t>
      </w:r>
    </w:p>
    <w:p>
      <w:pPr>
        <w:pStyle w:val="ListBullet"/>
      </w:pPr>
      <w:r>
        <w:t>Home and host payroll references</w:t>
      </w:r>
    </w:p>
    <w:p>
      <w:pPr>
        <w:pStyle w:val="ListBullet"/>
      </w:pPr>
      <w:r>
        <w:t>Multiple currencies</w:t>
      </w:r>
    </w:p>
    <w:p>
      <w:pPr>
        <w:pStyle w:val="ListBullet"/>
      </w:pPr>
      <w:r>
        <w:t>Tax equalization references</w:t>
      </w:r>
    </w:p>
    <w:p>
      <w:pPr>
        <w:pStyle w:val="ListBullet"/>
      </w:pPr>
      <w:r>
        <w:t>Assignment extension and early return</w:t>
      </w:r>
    </w:p>
    <w:p>
      <w:pPr>
        <w:pStyle w:val="ListBullet"/>
      </w:pPr>
      <w:r>
        <w:t>Repatriation</w:t>
      </w:r>
    </w:p>
    <w:p>
      <w:pPr>
        <w:pStyle w:val="ListBullet"/>
      </w:pPr>
      <w:r>
        <w:t>Global mobility reporting</w:t>
      </w:r>
    </w:p>
    <w:p>
      <w:r>
        <w:br w:type="page"/>
      </w:r>
    </w:p>
    <w:p>
      <w:pPr>
        <w:pStyle w:val="Heading1"/>
      </w:pPr>
      <w:r>
        <w:t>C. Talent Acquisition and Joining</w:t>
      </w:r>
    </w:p>
    <w:p>
      <w:r>
        <w:t>Capabilities covering workforce demand, candidate acquisition, joining and guided employee transitions.</w:t>
      </w:r>
    </w:p>
    <w:p>
      <w:pPr>
        <w:pStyle w:val="Heading2"/>
      </w:pPr>
      <w:r>
        <w:t>HRM-020 — Recruitment and Applicant Tracking</w:t>
      </w:r>
    </w:p>
    <w:p>
      <w:pPr>
        <w:spacing w:after="60"/>
      </w:pPr>
      <w:r>
        <w:rPr>
          <w:b/>
          <w:color w:val="17365D"/>
        </w:rPr>
        <w:t xml:space="preserve">Capability tier: </w:t>
      </w:r>
      <w:r>
        <w:t>Essentials</w:t>
      </w:r>
    </w:p>
    <w:p>
      <w:pPr>
        <w:pStyle w:val="ListBullet"/>
      </w:pPr>
      <w:r>
        <w:t>Recruitment requisition and approval</w:t>
      </w:r>
    </w:p>
    <w:p>
      <w:pPr>
        <w:pStyle w:val="ListBullet"/>
      </w:pPr>
      <w:r>
        <w:t>Replacement and new-position hiring</w:t>
      </w:r>
    </w:p>
    <w:p>
      <w:pPr>
        <w:pStyle w:val="ListBullet"/>
      </w:pPr>
      <w:r>
        <w:t>Internal and external vacancies</w:t>
      </w:r>
    </w:p>
    <w:p>
      <w:pPr>
        <w:pStyle w:val="ListBullet"/>
      </w:pPr>
      <w:r>
        <w:t>Careers portal and mobile application</w:t>
      </w:r>
    </w:p>
    <w:p>
      <w:pPr>
        <w:pStyle w:val="ListBullet"/>
      </w:pPr>
      <w:r>
        <w:t>Candidate profile and CV</w:t>
      </w:r>
    </w:p>
    <w:p>
      <w:pPr>
        <w:pStyle w:val="ListBullet"/>
      </w:pPr>
      <w:r>
        <w:t>Talent pools and campaigns</w:t>
      </w:r>
    </w:p>
    <w:p>
      <w:pPr>
        <w:pStyle w:val="ListBullet"/>
      </w:pPr>
      <w:r>
        <w:t>Agency and campus recruitment</w:t>
      </w:r>
    </w:p>
    <w:p>
      <w:pPr>
        <w:pStyle w:val="ListBullet"/>
      </w:pPr>
      <w:r>
        <w:t>Screening and eligibility questions</w:t>
      </w:r>
    </w:p>
    <w:p>
      <w:pPr>
        <w:pStyle w:val="ListBullet"/>
      </w:pPr>
      <w:r>
        <w:t>Blind screening and anonymization</w:t>
      </w:r>
    </w:p>
    <w:p>
      <w:pPr>
        <w:pStyle w:val="ListBullet"/>
      </w:pPr>
      <w:r>
        <w:t>Shortlisting</w:t>
      </w:r>
    </w:p>
    <w:p>
      <w:pPr>
        <w:pStyle w:val="ListBullet"/>
      </w:pPr>
      <w:r>
        <w:t>Interview panels and scheduling</w:t>
      </w:r>
    </w:p>
    <w:p>
      <w:pPr>
        <w:pStyle w:val="ListBullet"/>
      </w:pPr>
      <w:r>
        <w:t>Scorecards, assessments and ranking</w:t>
      </w:r>
    </w:p>
    <w:p>
      <w:pPr>
        <w:pStyle w:val="ListBullet"/>
      </w:pPr>
      <w:r>
        <w:t>References, background and conflict checks</w:t>
      </w:r>
    </w:p>
    <w:p>
      <w:pPr>
        <w:pStyle w:val="ListBullet"/>
      </w:pPr>
      <w:r>
        <w:t>Offer creation and approval</w:t>
      </w:r>
    </w:p>
    <w:p>
      <w:pPr>
        <w:pStyle w:val="ListBullet"/>
      </w:pPr>
      <w:r>
        <w:t>Offer acceptance, rejection and withdrawal</w:t>
      </w:r>
    </w:p>
    <w:p>
      <w:pPr>
        <w:pStyle w:val="ListBullet"/>
      </w:pPr>
      <w:r>
        <w:t>Candidate consent and retention</w:t>
      </w:r>
    </w:p>
    <w:p>
      <w:pPr>
        <w:pStyle w:val="ListBullet"/>
      </w:pPr>
      <w:r>
        <w:t>Candidate communications</w:t>
      </w:r>
    </w:p>
    <w:p>
      <w:pPr>
        <w:pStyle w:val="ListBullet"/>
      </w:pPr>
      <w:r>
        <w:t>Recruitment analytics and candidate-experience survey</w:t>
      </w:r>
    </w:p>
    <w:p>
      <w:pPr>
        <w:pStyle w:val="Heading2"/>
      </w:pPr>
      <w:r>
        <w:t>HRM-021 — Employee Referral Management</w:t>
      </w:r>
    </w:p>
    <w:p>
      <w:pPr>
        <w:spacing w:after="60"/>
      </w:pPr>
      <w:r>
        <w:rPr>
          <w:b/>
          <w:color w:val="17365D"/>
        </w:rPr>
        <w:t xml:space="preserve">Capability tier: </w:t>
      </w:r>
      <w:r>
        <w:t>Advanced</w:t>
      </w:r>
    </w:p>
    <w:p>
      <w:pPr>
        <w:pStyle w:val="ListBullet"/>
      </w:pPr>
      <w:r>
        <w:t>Referral programme and rules</w:t>
      </w:r>
    </w:p>
    <w:p>
      <w:pPr>
        <w:pStyle w:val="ListBullet"/>
      </w:pPr>
      <w:r>
        <w:t>Eligible vacancies</w:t>
      </w:r>
    </w:p>
    <w:p>
      <w:pPr>
        <w:pStyle w:val="ListBullet"/>
      </w:pPr>
      <w:r>
        <w:t>Employee referral submission</w:t>
      </w:r>
    </w:p>
    <w:p>
      <w:pPr>
        <w:pStyle w:val="ListBullet"/>
      </w:pPr>
      <w:r>
        <w:t>Candidate consent</w:t>
      </w:r>
    </w:p>
    <w:p>
      <w:pPr>
        <w:pStyle w:val="ListBullet"/>
      </w:pPr>
      <w:r>
        <w:t>Relationship and conflict declaration</w:t>
      </w:r>
    </w:p>
    <w:p>
      <w:pPr>
        <w:pStyle w:val="ListBullet"/>
      </w:pPr>
      <w:r>
        <w:t>Duplicate-referral rules</w:t>
      </w:r>
    </w:p>
    <w:p>
      <w:pPr>
        <w:pStyle w:val="ListBullet"/>
      </w:pPr>
      <w:r>
        <w:t>Referral status tracking</w:t>
      </w:r>
    </w:p>
    <w:p>
      <w:pPr>
        <w:pStyle w:val="ListBullet"/>
      </w:pPr>
      <w:r>
        <w:t>Reward eligibility</w:t>
      </w:r>
    </w:p>
    <w:p>
      <w:pPr>
        <w:pStyle w:val="ListBullet"/>
      </w:pPr>
      <w:r>
        <w:t>Reward approval and payroll payment</w:t>
      </w:r>
    </w:p>
    <w:p>
      <w:pPr>
        <w:pStyle w:val="ListBullet"/>
      </w:pPr>
      <w:r>
        <w:t>Referral quality and source reporting</w:t>
      </w:r>
    </w:p>
    <w:p>
      <w:pPr>
        <w:pStyle w:val="Heading2"/>
      </w:pPr>
      <w:r>
        <w:t>HRM-022 — Preboarding</w:t>
      </w:r>
    </w:p>
    <w:p>
      <w:pPr>
        <w:spacing w:after="60"/>
      </w:pPr>
      <w:r>
        <w:rPr>
          <w:b/>
          <w:color w:val="17365D"/>
        </w:rPr>
        <w:t xml:space="preserve">Capability tier: </w:t>
      </w:r>
      <w:r>
        <w:t>Essentials</w:t>
      </w:r>
    </w:p>
    <w:p>
      <w:pPr>
        <w:pStyle w:val="ListBullet"/>
      </w:pPr>
      <w:r>
        <w:t>Pre-employment checklist</w:t>
      </w:r>
    </w:p>
    <w:p>
      <w:pPr>
        <w:pStyle w:val="ListBullet"/>
      </w:pPr>
      <w:r>
        <w:t>Identity, qualification and reference verification</w:t>
      </w:r>
    </w:p>
    <w:p>
      <w:pPr>
        <w:pStyle w:val="ListBullet"/>
      </w:pPr>
      <w:r>
        <w:t>Background and medical requirements</w:t>
      </w:r>
    </w:p>
    <w:p>
      <w:pPr>
        <w:pStyle w:val="ListBullet"/>
      </w:pPr>
      <w:r>
        <w:t>Tax and statutory information</w:t>
      </w:r>
    </w:p>
    <w:p>
      <w:pPr>
        <w:pStyle w:val="ListBullet"/>
      </w:pPr>
      <w:r>
        <w:t>Bank and emergency-contact capture</w:t>
      </w:r>
    </w:p>
    <w:p>
      <w:pPr>
        <w:pStyle w:val="ListBullet"/>
      </w:pPr>
      <w:r>
        <w:t>Contract preparation and signing</w:t>
      </w:r>
    </w:p>
    <w:p>
      <w:pPr>
        <w:pStyle w:val="ListBullet"/>
      </w:pPr>
      <w:r>
        <w:t>Policy acknowledgement</w:t>
      </w:r>
    </w:p>
    <w:p>
      <w:pPr>
        <w:pStyle w:val="ListBullet"/>
      </w:pPr>
      <w:r>
        <w:t>Document collection</w:t>
      </w:r>
    </w:p>
    <w:p>
      <w:pPr>
        <w:pStyle w:val="ListBullet"/>
      </w:pPr>
      <w:r>
        <w:t>Start-date confirmation</w:t>
      </w:r>
    </w:p>
    <w:p>
      <w:pPr>
        <w:pStyle w:val="ListBullet"/>
      </w:pPr>
      <w:r>
        <w:t>Equipment, email and access requests</w:t>
      </w:r>
    </w:p>
    <w:p>
      <w:pPr>
        <w:pStyle w:val="ListBullet"/>
      </w:pPr>
      <w:r>
        <w:t>Orientation scheduling</w:t>
      </w:r>
    </w:p>
    <w:p>
      <w:pPr>
        <w:pStyle w:val="ListBullet"/>
      </w:pPr>
      <w:r>
        <w:t>Readiness dashboard</w:t>
      </w:r>
    </w:p>
    <w:p>
      <w:pPr>
        <w:pStyle w:val="ListBullet"/>
      </w:pPr>
      <w:r>
        <w:t>Candidate and manager communications</w:t>
      </w:r>
    </w:p>
    <w:p>
      <w:pPr>
        <w:pStyle w:val="Heading2"/>
      </w:pPr>
      <w:r>
        <w:t>HRM-023 — Onboarding</w:t>
      </w:r>
    </w:p>
    <w:p>
      <w:pPr>
        <w:spacing w:after="60"/>
      </w:pPr>
      <w:r>
        <w:rPr>
          <w:b/>
          <w:color w:val="17365D"/>
        </w:rPr>
        <w:t xml:space="preserve">Capability tier: </w:t>
      </w:r>
      <w:r>
        <w:t>Essentials</w:t>
      </w:r>
    </w:p>
    <w:p>
      <w:pPr>
        <w:pStyle w:val="ListBullet"/>
      </w:pPr>
      <w:r>
        <w:t>Employee-number and worker creation</w:t>
      </w:r>
    </w:p>
    <w:p>
      <w:pPr>
        <w:pStyle w:val="ListBullet"/>
      </w:pPr>
      <w:r>
        <w:t>Employment, position and manager assignment</w:t>
      </w:r>
    </w:p>
    <w:p>
      <w:pPr>
        <w:pStyle w:val="ListBullet"/>
      </w:pPr>
      <w:r>
        <w:t>Payroll and benefit enrolment requests</w:t>
      </w:r>
    </w:p>
    <w:p>
      <w:pPr>
        <w:pStyle w:val="ListBullet"/>
      </w:pPr>
      <w:r>
        <w:t>Account and access provisioning</w:t>
      </w:r>
    </w:p>
    <w:p>
      <w:pPr>
        <w:pStyle w:val="ListBullet"/>
      </w:pPr>
      <w:r>
        <w:t>Equipment and ID allocation</w:t>
      </w:r>
    </w:p>
    <w:p>
      <w:pPr>
        <w:pStyle w:val="ListBullet"/>
      </w:pPr>
      <w:r>
        <w:t>Induction and departmental orientation</w:t>
      </w:r>
    </w:p>
    <w:p>
      <w:pPr>
        <w:pStyle w:val="ListBullet"/>
      </w:pPr>
      <w:r>
        <w:t>Mandatory training</w:t>
      </w:r>
    </w:p>
    <w:p>
      <w:pPr>
        <w:pStyle w:val="ListBullet"/>
      </w:pPr>
      <w:r>
        <w:t>Policy acknowledgement</w:t>
      </w:r>
    </w:p>
    <w:p>
      <w:pPr>
        <w:pStyle w:val="ListBullet"/>
      </w:pPr>
      <w:r>
        <w:t>Buddy or mentor assignment</w:t>
      </w:r>
    </w:p>
    <w:p>
      <w:pPr>
        <w:pStyle w:val="ListBullet"/>
      </w:pPr>
      <w:r>
        <w:t>Role-based onboarding plans</w:t>
      </w:r>
    </w:p>
    <w:p>
      <w:pPr>
        <w:pStyle w:val="ListBullet"/>
      </w:pPr>
      <w:r>
        <w:t>30-, 60- and 90-day check-ins</w:t>
      </w:r>
    </w:p>
    <w:p>
      <w:pPr>
        <w:pStyle w:val="ListBullet"/>
      </w:pPr>
      <w:r>
        <w:t>Probation commencement</w:t>
      </w:r>
    </w:p>
    <w:p>
      <w:pPr>
        <w:pStyle w:val="ListBullet"/>
      </w:pPr>
      <w:r>
        <w:t>Onboarding feedback and completion</w:t>
      </w:r>
    </w:p>
    <w:p>
      <w:pPr>
        <w:pStyle w:val="Heading2"/>
      </w:pPr>
      <w:r>
        <w:t>HRM-024 — Employee Journeys and Life Events</w:t>
      </w:r>
    </w:p>
    <w:p>
      <w:pPr>
        <w:spacing w:after="60"/>
      </w:pPr>
      <w:r>
        <w:rPr>
          <w:b/>
          <w:color w:val="17365D"/>
        </w:rPr>
        <w:t xml:space="preserve">Capability tier: </w:t>
      </w:r>
      <w:r>
        <w:t>Advanced</w:t>
      </w:r>
    </w:p>
    <w:p>
      <w:pPr>
        <w:pStyle w:val="ListBullet"/>
      </w:pPr>
      <w:r>
        <w:t>Configurable journey templates</w:t>
      </w:r>
    </w:p>
    <w:p>
      <w:pPr>
        <w:pStyle w:val="ListBullet"/>
      </w:pPr>
      <w:r>
        <w:t>First-time manager journey</w:t>
      </w:r>
    </w:p>
    <w:p>
      <w:pPr>
        <w:pStyle w:val="ListBullet"/>
      </w:pPr>
      <w:r>
        <w:t>Promotion and transfer journeys</w:t>
      </w:r>
    </w:p>
    <w:p>
      <w:pPr>
        <w:pStyle w:val="ListBullet"/>
      </w:pPr>
      <w:r>
        <w:t>Relocation journey</w:t>
      </w:r>
    </w:p>
    <w:p>
      <w:pPr>
        <w:pStyle w:val="ListBullet"/>
      </w:pPr>
      <w:r>
        <w:t>Return from maternity or long illness</w:t>
      </w:r>
    </w:p>
    <w:p>
      <w:pPr>
        <w:pStyle w:val="ListBullet"/>
      </w:pPr>
      <w:r>
        <w:t>Injury recovery and accommodation</w:t>
      </w:r>
    </w:p>
    <w:p>
      <w:pPr>
        <w:pStyle w:val="ListBullet"/>
      </w:pPr>
      <w:r>
        <w:t>Marriage, birth, adoption and bereavement</w:t>
      </w:r>
    </w:p>
    <w:p>
      <w:pPr>
        <w:pStyle w:val="ListBullet"/>
      </w:pPr>
      <w:r>
        <w:t>Retirement preparation</w:t>
      </w:r>
    </w:p>
    <w:p>
      <w:pPr>
        <w:pStyle w:val="ListBullet"/>
      </w:pPr>
      <w:r>
        <w:t>Restructuring and redundancy consultation</w:t>
      </w:r>
    </w:p>
    <w:p>
      <w:pPr>
        <w:pStyle w:val="ListBullet"/>
      </w:pPr>
      <w:r>
        <w:t>Tasks, forms and learning within journeys</w:t>
      </w:r>
    </w:p>
    <w:p>
      <w:pPr>
        <w:pStyle w:val="ListBullet"/>
      </w:pPr>
      <w:r>
        <w:t>Progress, deadlines and ownership</w:t>
      </w:r>
    </w:p>
    <w:p>
      <w:pPr>
        <w:pStyle w:val="ListBullet"/>
      </w:pPr>
      <w:r>
        <w:t>Journey feedback and analytics</w:t>
      </w:r>
    </w:p>
    <w:p>
      <w:r>
        <w:br w:type="page"/>
      </w:r>
    </w:p>
    <w:p>
      <w:pPr>
        <w:pStyle w:val="Heading1"/>
      </w:pPr>
      <w:r>
        <w:t>D. Time, Scheduling and Workforce Operations</w:t>
      </w:r>
    </w:p>
    <w:p>
      <w:r>
        <w:t>Operational capabilities for working time, staffing, attendance, leave, duty travel, projects and employee expenses.</w:t>
      </w:r>
    </w:p>
    <w:p>
      <w:pPr>
        <w:pStyle w:val="Heading2"/>
      </w:pPr>
      <w:r>
        <w:t>HRM-025 — Time and Attendance Management</w:t>
      </w:r>
    </w:p>
    <w:p>
      <w:pPr>
        <w:spacing w:after="60"/>
      </w:pPr>
      <w:r>
        <w:rPr>
          <w:b/>
          <w:color w:val="17365D"/>
        </w:rPr>
        <w:t xml:space="preserve">Capability tier: </w:t>
      </w:r>
      <w:r>
        <w:t>Essentials</w:t>
      </w:r>
    </w:p>
    <w:p>
      <w:pPr>
        <w:pStyle w:val="ListBullet"/>
      </w:pPr>
      <w:r>
        <w:t>Work calendars and hours</w:t>
      </w:r>
    </w:p>
    <w:p>
      <w:pPr>
        <w:pStyle w:val="ListBullet"/>
      </w:pPr>
      <w:r>
        <w:t>Shift and roster assignment</w:t>
      </w:r>
    </w:p>
    <w:p>
      <w:pPr>
        <w:pStyle w:val="ListBullet"/>
      </w:pPr>
      <w:r>
        <w:t>Clock-in and clock-out</w:t>
      </w:r>
    </w:p>
    <w:p>
      <w:pPr>
        <w:pStyle w:val="ListBullet"/>
      </w:pPr>
      <w:r>
        <w:t>Biometric and device integration</w:t>
      </w:r>
    </w:p>
    <w:p>
      <w:pPr>
        <w:pStyle w:val="ListBullet"/>
      </w:pPr>
      <w:r>
        <w:t>Web and mobile attendance</w:t>
      </w:r>
    </w:p>
    <w:p>
      <w:pPr>
        <w:pStyle w:val="ListBullet"/>
      </w:pPr>
      <w:r>
        <w:t>Location-based attendance where lawful</w:t>
      </w:r>
    </w:p>
    <w:p>
      <w:pPr>
        <w:pStyle w:val="ListBullet"/>
      </w:pPr>
      <w:r>
        <w:t>Offline attendance</w:t>
      </w:r>
    </w:p>
    <w:p>
      <w:pPr>
        <w:pStyle w:val="ListBullet"/>
      </w:pPr>
      <w:r>
        <w:t>Breaks and total hours</w:t>
      </w:r>
    </w:p>
    <w:p>
      <w:pPr>
        <w:pStyle w:val="ListBullet"/>
      </w:pPr>
      <w:r>
        <w:t>Late arrival and early departure</w:t>
      </w:r>
    </w:p>
    <w:p>
      <w:pPr>
        <w:pStyle w:val="ListBullet"/>
      </w:pPr>
      <w:r>
        <w:t>Absence and half-day status</w:t>
      </w:r>
    </w:p>
    <w:p>
      <w:pPr>
        <w:pStyle w:val="ListBullet"/>
      </w:pPr>
      <w:r>
        <w:t>Overtime and public-holiday work</w:t>
      </w:r>
    </w:p>
    <w:p>
      <w:pPr>
        <w:pStyle w:val="ListBullet"/>
      </w:pPr>
      <w:r>
        <w:t>Timesheets</w:t>
      </w:r>
    </w:p>
    <w:p>
      <w:pPr>
        <w:pStyle w:val="ListBullet"/>
      </w:pPr>
      <w:r>
        <w:t>Manager approval</w:t>
      </w:r>
    </w:p>
    <w:p>
      <w:pPr>
        <w:pStyle w:val="ListBullet"/>
      </w:pPr>
      <w:r>
        <w:t>Attendance exceptions</w:t>
      </w:r>
    </w:p>
    <w:p>
      <w:pPr>
        <w:pStyle w:val="ListBullet"/>
      </w:pPr>
      <w:r>
        <w:t>Payroll-ready attendance</w:t>
      </w:r>
    </w:p>
    <w:p>
      <w:pPr>
        <w:pStyle w:val="ListBullet"/>
      </w:pPr>
      <w:r>
        <w:t>Attendance reports and audit</w:t>
      </w:r>
    </w:p>
    <w:p>
      <w:pPr>
        <w:pStyle w:val="Heading2"/>
      </w:pPr>
      <w:r>
        <w:t>HRM-026 — Advanced Workforce Scheduling and Labour Optimization</w:t>
      </w:r>
    </w:p>
    <w:p>
      <w:pPr>
        <w:spacing w:after="60"/>
      </w:pPr>
      <w:r>
        <w:rPr>
          <w:b/>
          <w:color w:val="17365D"/>
        </w:rPr>
        <w:t xml:space="preserve">Capability tier: </w:t>
      </w:r>
      <w:r>
        <w:t>Enterprise</w:t>
      </w:r>
    </w:p>
    <w:p>
      <w:pPr>
        <w:pStyle w:val="ListBullet"/>
      </w:pPr>
      <w:r>
        <w:t>Workload and demand forecast</w:t>
      </w:r>
    </w:p>
    <w:p>
      <w:pPr>
        <w:pStyle w:val="ListBullet"/>
      </w:pPr>
      <w:r>
        <w:t>Staffing plans by time and skill</w:t>
      </w:r>
    </w:p>
    <w:p>
      <w:pPr>
        <w:pStyle w:val="ListBullet"/>
      </w:pPr>
      <w:r>
        <w:t>Minimum and maximum coverage</w:t>
      </w:r>
    </w:p>
    <w:p>
      <w:pPr>
        <w:pStyle w:val="ListBullet"/>
      </w:pPr>
      <w:r>
        <w:t>Worker availability and preferences</w:t>
      </w:r>
    </w:p>
    <w:p>
      <w:pPr>
        <w:pStyle w:val="ListBullet"/>
      </w:pPr>
      <w:r>
        <w:t>Automatic and manual scheduling</w:t>
      </w:r>
    </w:p>
    <w:p>
      <w:pPr>
        <w:pStyle w:val="ListBullet"/>
      </w:pPr>
      <w:r>
        <w:t>Open shifts and shift offers</w:t>
      </w:r>
    </w:p>
    <w:p>
      <w:pPr>
        <w:pStyle w:val="ListBullet"/>
      </w:pPr>
      <w:r>
        <w:t>Shift bidding and swaps</w:t>
      </w:r>
    </w:p>
    <w:p>
      <w:pPr>
        <w:pStyle w:val="ListBullet"/>
      </w:pPr>
      <w:r>
        <w:t>On-call and standby</w:t>
      </w:r>
    </w:p>
    <w:p>
      <w:pPr>
        <w:pStyle w:val="ListBullet"/>
      </w:pPr>
      <w:r>
        <w:t>Split and rotating shifts</w:t>
      </w:r>
    </w:p>
    <w:p>
      <w:pPr>
        <w:pStyle w:val="ListBullet"/>
      </w:pPr>
      <w:r>
        <w:t>Rest periods and fatigue rules</w:t>
      </w:r>
    </w:p>
    <w:p>
      <w:pPr>
        <w:pStyle w:val="ListBullet"/>
      </w:pPr>
      <w:r>
        <w:t>Maximum consecutive work</w:t>
      </w:r>
    </w:p>
    <w:p>
      <w:pPr>
        <w:pStyle w:val="ListBullet"/>
      </w:pPr>
      <w:r>
        <w:t>Overtime-risk alerts</w:t>
      </w:r>
    </w:p>
    <w:p>
      <w:pPr>
        <w:pStyle w:val="ListBullet"/>
      </w:pPr>
      <w:r>
        <w:t>Understaffing and overstaffing</w:t>
      </w:r>
    </w:p>
    <w:p>
      <w:pPr>
        <w:pStyle w:val="ListBullet"/>
      </w:pPr>
      <w:r>
        <w:t>Labour-cost forecasting</w:t>
      </w:r>
    </w:p>
    <w:p>
      <w:pPr>
        <w:pStyle w:val="ListBullet"/>
      </w:pPr>
      <w:r>
        <w:t>Schedule publication and acknowledgement</w:t>
      </w:r>
    </w:p>
    <w:p>
      <w:pPr>
        <w:pStyle w:val="ListBullet"/>
      </w:pPr>
      <w:r>
        <w:t>Emergency replacement</w:t>
      </w:r>
    </w:p>
    <w:p>
      <w:pPr>
        <w:pStyle w:val="ListBullet"/>
      </w:pPr>
      <w:r>
        <w:t>Schedule fairness and coverage analytics</w:t>
      </w:r>
    </w:p>
    <w:p>
      <w:pPr>
        <w:pStyle w:val="Heading2"/>
      </w:pPr>
      <w:r>
        <w:t>HRM-027 — Leave and Absence Management</w:t>
      </w:r>
    </w:p>
    <w:p>
      <w:pPr>
        <w:spacing w:after="60"/>
      </w:pPr>
      <w:r>
        <w:rPr>
          <w:b/>
          <w:color w:val="17365D"/>
        </w:rPr>
        <w:t xml:space="preserve">Capability tier: </w:t>
      </w:r>
      <w:r>
        <w:t>Essentials</w:t>
      </w:r>
    </w:p>
    <w:p>
      <w:pPr>
        <w:pStyle w:val="ListBullet"/>
      </w:pPr>
      <w:r>
        <w:t>Leave types and categories</w:t>
      </w:r>
    </w:p>
    <w:p>
      <w:pPr>
        <w:pStyle w:val="ListBullet"/>
      </w:pPr>
      <w:r>
        <w:t>Eligibility and plan enrolment</w:t>
      </w:r>
    </w:p>
    <w:p>
      <w:pPr>
        <w:pStyle w:val="ListBullet"/>
      </w:pPr>
      <w:r>
        <w:t>Balances and accruals</w:t>
      </w:r>
    </w:p>
    <w:p>
      <w:pPr>
        <w:pStyle w:val="ListBullet"/>
      </w:pPr>
      <w:r>
        <w:t>Carry-forward, expiry and forfeiture</w:t>
      </w:r>
    </w:p>
    <w:p>
      <w:pPr>
        <w:pStyle w:val="ListBullet"/>
      </w:pPr>
      <w:r>
        <w:t>Annual, sick, maternity, paternity and compassionate leave</w:t>
      </w:r>
    </w:p>
    <w:p>
      <w:pPr>
        <w:pStyle w:val="ListBullet"/>
      </w:pPr>
      <w:r>
        <w:t>Study, unpaid and special leave</w:t>
      </w:r>
    </w:p>
    <w:p>
      <w:pPr>
        <w:pStyle w:val="ListBullet"/>
      </w:pPr>
      <w:r>
        <w:t>Partial-day and intermittent leave</w:t>
      </w:r>
    </w:p>
    <w:p>
      <w:pPr>
        <w:pStyle w:val="ListBullet"/>
      </w:pPr>
      <w:r>
        <w:t>Application and approval</w:t>
      </w:r>
    </w:p>
    <w:p>
      <w:pPr>
        <w:pStyle w:val="ListBullet"/>
      </w:pPr>
      <w:r>
        <w:t>Medical certificates and absence certification</w:t>
      </w:r>
    </w:p>
    <w:p>
      <w:pPr>
        <w:pStyle w:val="ListBullet"/>
      </w:pPr>
      <w:r>
        <w:t>Team calendar and conflict checks</w:t>
      </w:r>
    </w:p>
    <w:p>
      <w:pPr>
        <w:pStyle w:val="ListBullet"/>
      </w:pPr>
      <w:r>
        <w:t>Cancellation, recall and return to work</w:t>
      </w:r>
    </w:p>
    <w:p>
      <w:pPr>
        <w:pStyle w:val="ListBullet"/>
      </w:pPr>
      <w:r>
        <w:t>Long-term absence and rehabilitation plans</w:t>
      </w:r>
    </w:p>
    <w:p>
      <w:pPr>
        <w:pStyle w:val="ListBullet"/>
      </w:pPr>
      <w:r>
        <w:t>Leave donation pools</w:t>
      </w:r>
    </w:p>
    <w:p>
      <w:pPr>
        <w:pStyle w:val="ListBullet"/>
      </w:pPr>
      <w:r>
        <w:t>Accrual recalculation and rollback</w:t>
      </w:r>
    </w:p>
    <w:p>
      <w:pPr>
        <w:pStyle w:val="ListBullet"/>
      </w:pPr>
      <w:r>
        <w:t>Payroll impact</w:t>
      </w:r>
    </w:p>
    <w:p>
      <w:pPr>
        <w:pStyle w:val="ListBullet"/>
      </w:pPr>
      <w:r>
        <w:t>Leave liability and absence-pattern reporting</w:t>
      </w:r>
    </w:p>
    <w:p>
      <w:pPr>
        <w:pStyle w:val="Heading2"/>
      </w:pPr>
      <w:r>
        <w:t>HRM-028 — Compensatory Time and Time Off in Lieu</w:t>
      </w:r>
    </w:p>
    <w:p>
      <w:pPr>
        <w:spacing w:after="60"/>
      </w:pPr>
      <w:r>
        <w:rPr>
          <w:b/>
          <w:color w:val="17365D"/>
        </w:rPr>
        <w:t xml:space="preserve">Capability tier: </w:t>
      </w:r>
      <w:r>
        <w:t>Advanced</w:t>
      </w:r>
    </w:p>
    <w:p>
      <w:pPr>
        <w:pStyle w:val="ListBullet"/>
      </w:pPr>
      <w:r>
        <w:t>Eligible overtime and public-holiday work</w:t>
      </w:r>
    </w:p>
    <w:p>
      <w:pPr>
        <w:pStyle w:val="ListBullet"/>
      </w:pPr>
      <w:r>
        <w:t>Conversion of approved work into time</w:t>
      </w:r>
    </w:p>
    <w:p>
      <w:pPr>
        <w:pStyle w:val="ListBullet"/>
      </w:pPr>
      <w:r>
        <w:t>Accrual and balances</w:t>
      </w:r>
    </w:p>
    <w:p>
      <w:pPr>
        <w:pStyle w:val="ListBullet"/>
      </w:pPr>
      <w:r>
        <w:t>Manager validation</w:t>
      </w:r>
    </w:p>
    <w:p>
      <w:pPr>
        <w:pStyle w:val="ListBullet"/>
      </w:pPr>
      <w:r>
        <w:t>Expiry and forfeiture</w:t>
      </w:r>
    </w:p>
    <w:p>
      <w:pPr>
        <w:pStyle w:val="ListBullet"/>
      </w:pPr>
      <w:r>
        <w:t>Partial use</w:t>
      </w:r>
    </w:p>
    <w:p>
      <w:pPr>
        <w:pStyle w:val="ListBullet"/>
      </w:pPr>
      <w:r>
        <w:t>Payout where permitted</w:t>
      </w:r>
    </w:p>
    <w:p>
      <w:pPr>
        <w:pStyle w:val="ListBullet"/>
      </w:pPr>
      <w:r>
        <w:t>Payroll interaction</w:t>
      </w:r>
    </w:p>
    <w:p>
      <w:pPr>
        <w:pStyle w:val="ListBullet"/>
      </w:pPr>
      <w:r>
        <w:t>Employee statement</w:t>
      </w:r>
    </w:p>
    <w:p>
      <w:pPr>
        <w:pStyle w:val="ListBullet"/>
      </w:pPr>
      <w:r>
        <w:t>Audit and abuse monitoring</w:t>
      </w:r>
    </w:p>
    <w:p>
      <w:pPr>
        <w:pStyle w:val="Heading2"/>
      </w:pPr>
      <w:r>
        <w:t>HRM-029 — Attendance Regularization</w:t>
      </w:r>
    </w:p>
    <w:p>
      <w:pPr>
        <w:spacing w:after="60"/>
      </w:pPr>
      <w:r>
        <w:rPr>
          <w:b/>
          <w:color w:val="17365D"/>
        </w:rPr>
        <w:t xml:space="preserve">Capability tier: </w:t>
      </w:r>
      <w:r>
        <w:t>Essentials</w:t>
      </w:r>
    </w:p>
    <w:p>
      <w:pPr>
        <w:pStyle w:val="ListBullet"/>
      </w:pPr>
      <w:r>
        <w:t>Missed clock-in or clock-out</w:t>
      </w:r>
    </w:p>
    <w:p>
      <w:pPr>
        <w:pStyle w:val="ListBullet"/>
      </w:pPr>
      <w:r>
        <w:t>Incorrect shift or status</w:t>
      </w:r>
    </w:p>
    <w:p>
      <w:pPr>
        <w:pStyle w:val="ListBullet"/>
      </w:pPr>
      <w:r>
        <w:t>Off-site and field duty</w:t>
      </w:r>
    </w:p>
    <w:p>
      <w:pPr>
        <w:pStyle w:val="ListBullet"/>
      </w:pPr>
      <w:r>
        <w:t>System and biometric failure</w:t>
      </w:r>
    </w:p>
    <w:p>
      <w:pPr>
        <w:pStyle w:val="ListBullet"/>
      </w:pPr>
      <w:r>
        <w:t>Employee correction request</w:t>
      </w:r>
    </w:p>
    <w:p>
      <w:pPr>
        <w:pStyle w:val="ListBullet"/>
      </w:pPr>
      <w:r>
        <w:t>Reason and supporting evidence</w:t>
      </w:r>
    </w:p>
    <w:p>
      <w:pPr>
        <w:pStyle w:val="ListBullet"/>
      </w:pPr>
      <w:r>
        <w:t>Manager and HR review</w:t>
      </w:r>
    </w:p>
    <w:p>
      <w:pPr>
        <w:pStyle w:val="ListBullet"/>
      </w:pPr>
      <w:r>
        <w:t>Correction deadline</w:t>
      </w:r>
    </w:p>
    <w:p>
      <w:pPr>
        <w:pStyle w:val="ListBullet"/>
      </w:pPr>
      <w:r>
        <w:t>Payroll impact</w:t>
      </w:r>
    </w:p>
    <w:p>
      <w:pPr>
        <w:pStyle w:val="ListBullet"/>
      </w:pPr>
      <w:r>
        <w:t>Duplicate and abuse checks</w:t>
      </w:r>
    </w:p>
    <w:p>
      <w:pPr>
        <w:pStyle w:val="ListBullet"/>
      </w:pPr>
      <w:r>
        <w:t>Correction history and reporting</w:t>
      </w:r>
    </w:p>
    <w:p>
      <w:pPr>
        <w:pStyle w:val="Heading2"/>
      </w:pPr>
      <w:r>
        <w:t>HRM-030 — Workforce Projects and Timesheet Costing</w:t>
      </w:r>
    </w:p>
    <w:p>
      <w:pPr>
        <w:spacing w:after="60"/>
      </w:pPr>
      <w:r>
        <w:rPr>
          <w:b/>
          <w:color w:val="17365D"/>
        </w:rPr>
        <w:t xml:space="preserve">Capability tier: </w:t>
      </w:r>
      <w:r>
        <w:t>Advanced</w:t>
      </w:r>
    </w:p>
    <w:p>
      <w:pPr>
        <w:pStyle w:val="ListBullet"/>
      </w:pPr>
      <w:r>
        <w:t>Project, grant, client and cost-centre assignment</w:t>
      </w:r>
    </w:p>
    <w:p>
      <w:pPr>
        <w:pStyle w:val="ListBullet"/>
      </w:pPr>
      <w:r>
        <w:t>Task and activity</w:t>
      </w:r>
    </w:p>
    <w:p>
      <w:pPr>
        <w:pStyle w:val="ListBullet"/>
      </w:pPr>
      <w:r>
        <w:t>Billable and non-billable time</w:t>
      </w:r>
    </w:p>
    <w:p>
      <w:pPr>
        <w:pStyle w:val="ListBullet"/>
      </w:pPr>
      <w:r>
        <w:t>Ordinary and overtime hours</w:t>
      </w:r>
    </w:p>
    <w:p>
      <w:pPr>
        <w:pStyle w:val="ListBullet"/>
      </w:pPr>
      <w:r>
        <w:t>Timesheet submission and locking</w:t>
      </w:r>
    </w:p>
    <w:p>
      <w:pPr>
        <w:pStyle w:val="ListBullet"/>
      </w:pPr>
      <w:r>
        <w:t>Line and project-manager approval</w:t>
      </w:r>
    </w:p>
    <w:p>
      <w:pPr>
        <w:pStyle w:val="ListBullet"/>
      </w:pPr>
      <w:r>
        <w:t>Payroll input</w:t>
      </w:r>
    </w:p>
    <w:p>
      <w:pPr>
        <w:pStyle w:val="ListBullet"/>
      </w:pPr>
      <w:r>
        <w:t>Project costing and accounting integration</w:t>
      </w:r>
    </w:p>
    <w:p>
      <w:pPr>
        <w:pStyle w:val="ListBullet"/>
      </w:pPr>
      <w:r>
        <w:t>Corrections</w:t>
      </w:r>
    </w:p>
    <w:p>
      <w:pPr>
        <w:pStyle w:val="ListBullet"/>
      </w:pPr>
      <w:r>
        <w:t>Utilization and labour-cost reports</w:t>
      </w:r>
    </w:p>
    <w:p>
      <w:pPr>
        <w:pStyle w:val="Heading2"/>
      </w:pPr>
      <w:r>
        <w:t>HRM-031 — Travel and Duty Management</w:t>
      </w:r>
    </w:p>
    <w:p>
      <w:pPr>
        <w:spacing w:after="60"/>
      </w:pPr>
      <w:r>
        <w:rPr>
          <w:b/>
          <w:color w:val="17365D"/>
        </w:rPr>
        <w:t xml:space="preserve">Capability tier: </w:t>
      </w:r>
      <w:r>
        <w:t>Advanced</w:t>
      </w:r>
    </w:p>
    <w:p>
      <w:pPr>
        <w:pStyle w:val="ListBullet"/>
      </w:pPr>
      <w:r>
        <w:t>Local and international duty travel</w:t>
      </w:r>
    </w:p>
    <w:p>
      <w:pPr>
        <w:pStyle w:val="ListBullet"/>
      </w:pPr>
      <w:r>
        <w:t>Travel authorization</w:t>
      </w:r>
    </w:p>
    <w:p>
      <w:pPr>
        <w:pStyle w:val="ListBullet"/>
      </w:pPr>
      <w:r>
        <w:t>Purpose and itinerary</w:t>
      </w:r>
    </w:p>
    <w:p>
      <w:pPr>
        <w:pStyle w:val="ListBullet"/>
      </w:pPr>
      <w:r>
        <w:t>Destination and duty station</w:t>
      </w:r>
    </w:p>
    <w:p>
      <w:pPr>
        <w:pStyle w:val="ListBullet"/>
      </w:pPr>
      <w:r>
        <w:t>Transport and accommodation</w:t>
      </w:r>
    </w:p>
    <w:p>
      <w:pPr>
        <w:pStyle w:val="ListBullet"/>
      </w:pPr>
      <w:r>
        <w:t>Per diem and subsistence</w:t>
      </w:r>
    </w:p>
    <w:p>
      <w:pPr>
        <w:pStyle w:val="ListBullet"/>
      </w:pPr>
      <w:r>
        <w:t>Travel advance</w:t>
      </w:r>
    </w:p>
    <w:p>
      <w:pPr>
        <w:pStyle w:val="ListBullet"/>
      </w:pPr>
      <w:r>
        <w:t>Visa and travel documents</w:t>
      </w:r>
    </w:p>
    <w:p>
      <w:pPr>
        <w:pStyle w:val="ListBullet"/>
      </w:pPr>
      <w:r>
        <w:t>Risk assessment and emergency contacts</w:t>
      </w:r>
    </w:p>
    <w:p>
      <w:pPr>
        <w:pStyle w:val="ListBullet"/>
      </w:pPr>
      <w:r>
        <w:t>Acting arrangements</w:t>
      </w:r>
    </w:p>
    <w:p>
      <w:pPr>
        <w:pStyle w:val="ListBullet"/>
      </w:pPr>
      <w:r>
        <w:t>Trip changes and cancellation</w:t>
      </w:r>
    </w:p>
    <w:p>
      <w:pPr>
        <w:pStyle w:val="ListBullet"/>
      </w:pPr>
      <w:r>
        <w:t>Travel completion and expense retirement</w:t>
      </w:r>
    </w:p>
    <w:p>
      <w:pPr>
        <w:pStyle w:val="ListBullet"/>
      </w:pPr>
      <w:r>
        <w:t>Travel history and duty-location reporting</w:t>
      </w:r>
    </w:p>
    <w:p>
      <w:pPr>
        <w:pStyle w:val="Heading2"/>
      </w:pPr>
      <w:r>
        <w:t>HRM-032 — Employee Expenses and Advances</w:t>
      </w:r>
    </w:p>
    <w:p>
      <w:pPr>
        <w:spacing w:after="60"/>
      </w:pPr>
      <w:r>
        <w:rPr>
          <w:b/>
          <w:color w:val="17365D"/>
        </w:rPr>
        <w:t xml:space="preserve">Capability tier: </w:t>
      </w:r>
      <w:r>
        <w:t>Advanced</w:t>
      </w:r>
    </w:p>
    <w:p>
      <w:pPr>
        <w:pStyle w:val="ListBullet"/>
      </w:pPr>
      <w:r>
        <w:t>Employee advance request</w:t>
      </w:r>
    </w:p>
    <w:p>
      <w:pPr>
        <w:pStyle w:val="ListBullet"/>
      </w:pPr>
      <w:r>
        <w:t>Expense claim</w:t>
      </w:r>
    </w:p>
    <w:p>
      <w:pPr>
        <w:pStyle w:val="ListBullet"/>
      </w:pPr>
      <w:r>
        <w:t>Expense categories and policy limits</w:t>
      </w:r>
    </w:p>
    <w:p>
      <w:pPr>
        <w:pStyle w:val="ListBullet"/>
      </w:pPr>
      <w:r>
        <w:t>Project and cost-centre allocation</w:t>
      </w:r>
    </w:p>
    <w:p>
      <w:pPr>
        <w:pStyle w:val="ListBullet"/>
      </w:pPr>
      <w:r>
        <w:t>Receipts and missing-receipt declaration</w:t>
      </w:r>
    </w:p>
    <w:p>
      <w:pPr>
        <w:pStyle w:val="ListBullet"/>
      </w:pPr>
      <w:r>
        <w:t>Mileage, meals, accommodation and communication claims</w:t>
      </w:r>
    </w:p>
    <w:p>
      <w:pPr>
        <w:pStyle w:val="ListBullet"/>
      </w:pPr>
      <w:r>
        <w:t>Foreign currency and exchange rates</w:t>
      </w:r>
    </w:p>
    <w:p>
      <w:pPr>
        <w:pStyle w:val="ListBullet"/>
      </w:pPr>
      <w:r>
        <w:t>Approval and accounting posting</w:t>
      </w:r>
    </w:p>
    <w:p>
      <w:pPr>
        <w:pStyle w:val="ListBullet"/>
      </w:pPr>
      <w:r>
        <w:t>Payroll reimbursement</w:t>
      </w:r>
    </w:p>
    <w:p>
      <w:pPr>
        <w:pStyle w:val="ListBullet"/>
      </w:pPr>
      <w:r>
        <w:t>Return of unused funds</w:t>
      </w:r>
    </w:p>
    <w:p>
      <w:pPr>
        <w:pStyle w:val="ListBullet"/>
      </w:pPr>
      <w:r>
        <w:t>Excess reimbursement</w:t>
      </w:r>
    </w:p>
    <w:p>
      <w:pPr>
        <w:pStyle w:val="ListBullet"/>
      </w:pPr>
      <w:r>
        <w:t>Outstanding-advance control</w:t>
      </w:r>
    </w:p>
    <w:p>
      <w:pPr>
        <w:pStyle w:val="ListBullet"/>
      </w:pPr>
      <w:r>
        <w:t>Duplicate-receipt detection</w:t>
      </w:r>
    </w:p>
    <w:p>
      <w:pPr>
        <w:pStyle w:val="ListBullet"/>
      </w:pPr>
      <w:r>
        <w:t>Expense and advance settlement during clearance</w:t>
      </w:r>
    </w:p>
    <w:p>
      <w:r>
        <w:br w:type="page"/>
      </w:r>
    </w:p>
    <w:p>
      <w:pPr>
        <w:pStyle w:val="Heading1"/>
      </w:pPr>
      <w:r>
        <w:t>E. Payroll, Compensation, Benefits and Rewards</w:t>
      </w:r>
    </w:p>
    <w:p>
      <w:r>
        <w:t>Capabilities for calculating pay, planning rewards, administering benefits and providing transparent employee compensation.</w:t>
      </w:r>
    </w:p>
    <w:p>
      <w:pPr>
        <w:pStyle w:val="Heading2"/>
      </w:pPr>
      <w:r>
        <w:t>HRM-033 — Payroll Management</w:t>
      </w:r>
    </w:p>
    <w:p>
      <w:pPr>
        <w:spacing w:after="60"/>
      </w:pPr>
      <w:r>
        <w:rPr>
          <w:b/>
          <w:color w:val="17365D"/>
        </w:rPr>
        <w:t xml:space="preserve">Capability tier: </w:t>
      </w:r>
      <w:r>
        <w:t>Essentials</w:t>
      </w:r>
    </w:p>
    <w:p>
      <w:pPr>
        <w:pStyle w:val="ListBullet"/>
      </w:pPr>
      <w:r>
        <w:t>Payroll organization and employer setup</w:t>
      </w:r>
    </w:p>
    <w:p>
      <w:pPr>
        <w:pStyle w:val="ListBullet"/>
      </w:pPr>
      <w:r>
        <w:t>Payroll calendars, periods and pay groups</w:t>
      </w:r>
    </w:p>
    <w:p>
      <w:pPr>
        <w:pStyle w:val="ListBullet"/>
      </w:pPr>
      <w:r>
        <w:t>Employee payroll profiles</w:t>
      </w:r>
    </w:p>
    <w:p>
      <w:pPr>
        <w:pStyle w:val="ListBullet"/>
      </w:pPr>
      <w:r>
        <w:t>Salary structures and components</w:t>
      </w:r>
    </w:p>
    <w:p>
      <w:pPr>
        <w:pStyle w:val="ListBullet"/>
      </w:pPr>
      <w:r>
        <w:t>Regular and variable earnings</w:t>
      </w:r>
    </w:p>
    <w:p>
      <w:pPr>
        <w:pStyle w:val="ListBullet"/>
      </w:pPr>
      <w:r>
        <w:t>Allowances and benefits in kind</w:t>
      </w:r>
    </w:p>
    <w:p>
      <w:pPr>
        <w:pStyle w:val="ListBullet"/>
      </w:pPr>
      <w:r>
        <w:t>Voluntary, statutory and recovery deductions</w:t>
      </w:r>
    </w:p>
    <w:p>
      <w:pPr>
        <w:pStyle w:val="ListBullet"/>
      </w:pPr>
      <w:r>
        <w:t>Tax slabs and formulas</w:t>
      </w:r>
    </w:p>
    <w:p>
      <w:pPr>
        <w:pStyle w:val="ListBullet"/>
      </w:pPr>
      <w:r>
        <w:t>Employee and employer contributions</w:t>
      </w:r>
    </w:p>
    <w:p>
      <w:pPr>
        <w:pStyle w:val="ListBullet"/>
      </w:pPr>
      <w:r>
        <w:t>Loans, advances and balances</w:t>
      </w:r>
    </w:p>
    <w:p>
      <w:pPr>
        <w:pStyle w:val="ListBullet"/>
      </w:pPr>
      <w:r>
        <w:t>Time, attendance and leave inputs</w:t>
      </w:r>
    </w:p>
    <w:p>
      <w:pPr>
        <w:pStyle w:val="ListBullet"/>
      </w:pPr>
      <w:r>
        <w:t>Payroll calculation and proration</w:t>
      </w:r>
    </w:p>
    <w:p>
      <w:pPr>
        <w:pStyle w:val="ListBullet"/>
      </w:pPr>
      <w:r>
        <w:t>Payroll run, validation and approval</w:t>
      </w:r>
    </w:p>
    <w:p>
      <w:pPr>
        <w:pStyle w:val="ListBullet"/>
      </w:pPr>
      <w:r>
        <w:t>Payslip generation, delivery and history</w:t>
      </w:r>
    </w:p>
    <w:p>
      <w:pPr>
        <w:pStyle w:val="ListBullet"/>
      </w:pPr>
      <w:r>
        <w:t>Bank and third-party payments</w:t>
      </w:r>
    </w:p>
    <w:p>
      <w:pPr>
        <w:pStyle w:val="ListBullet"/>
      </w:pPr>
      <w:r>
        <w:t>Accounting journals and costing</w:t>
      </w:r>
    </w:p>
    <w:p>
      <w:pPr>
        <w:pStyle w:val="ListBullet"/>
      </w:pPr>
      <w:r>
        <w:t>Reconciliation</w:t>
      </w:r>
    </w:p>
    <w:p>
      <w:pPr>
        <w:pStyle w:val="ListBullet"/>
      </w:pPr>
      <w:r>
        <w:t>Corrections, reversals and arrears</w:t>
      </w:r>
    </w:p>
    <w:p>
      <w:pPr>
        <w:pStyle w:val="ListBullet"/>
      </w:pPr>
      <w:r>
        <w:t>Retroactive and off-cycle payroll</w:t>
      </w:r>
    </w:p>
    <w:p>
      <w:pPr>
        <w:pStyle w:val="ListBullet"/>
      </w:pPr>
      <w:r>
        <w:t>Final pay</w:t>
      </w:r>
    </w:p>
    <w:p>
      <w:pPr>
        <w:pStyle w:val="ListBullet"/>
      </w:pPr>
      <w:r>
        <w:t>Statutory and year-end reporting</w:t>
      </w:r>
    </w:p>
    <w:p>
      <w:pPr>
        <w:pStyle w:val="ListBullet"/>
      </w:pPr>
      <w:r>
        <w:t>Multi-entity and multi-currency payroll</w:t>
      </w:r>
    </w:p>
    <w:p>
      <w:pPr>
        <w:pStyle w:val="ListBullet"/>
      </w:pPr>
      <w:r>
        <w:t>Payroll audit and recovery</w:t>
      </w:r>
    </w:p>
    <w:p>
      <w:pPr>
        <w:pStyle w:val="Heading2"/>
      </w:pPr>
      <w:r>
        <w:t>HRM-034 — Compensation and Benefits Administration</w:t>
      </w:r>
    </w:p>
    <w:p>
      <w:pPr>
        <w:spacing w:after="60"/>
      </w:pPr>
      <w:r>
        <w:rPr>
          <w:b/>
          <w:color w:val="17365D"/>
        </w:rPr>
        <w:t xml:space="preserve">Capability tier: </w:t>
      </w:r>
      <w:r>
        <w:t>Essentials</w:t>
      </w:r>
    </w:p>
    <w:p>
      <w:pPr>
        <w:pStyle w:val="ListBullet"/>
      </w:pPr>
      <w:r>
        <w:t>Compensation grades and bands</w:t>
      </w:r>
    </w:p>
    <w:p>
      <w:pPr>
        <w:pStyle w:val="ListBullet"/>
      </w:pPr>
      <w:r>
        <w:t>Salary history</w:t>
      </w:r>
    </w:p>
    <w:p>
      <w:pPr>
        <w:pStyle w:val="ListBullet"/>
      </w:pPr>
      <w:r>
        <w:t>Allowances, bonuses and commissions</w:t>
      </w:r>
    </w:p>
    <w:p>
      <w:pPr>
        <w:pStyle w:val="ListBullet"/>
      </w:pPr>
      <w:r>
        <w:t>Benefit eligibility</w:t>
      </w:r>
    </w:p>
    <w:p>
      <w:pPr>
        <w:pStyle w:val="ListBullet"/>
      </w:pPr>
      <w:r>
        <w:t>Medical, pension and insurance enrolment</w:t>
      </w:r>
    </w:p>
    <w:p>
      <w:pPr>
        <w:pStyle w:val="ListBullet"/>
      </w:pPr>
      <w:r>
        <w:t>Compensation-change requests</w:t>
      </w:r>
    </w:p>
    <w:p>
      <w:pPr>
        <w:pStyle w:val="ListBullet"/>
      </w:pPr>
      <w:r>
        <w:t>Payroll enrolment and data validation</w:t>
      </w:r>
    </w:p>
    <w:p>
      <w:pPr>
        <w:pStyle w:val="ListBullet"/>
      </w:pPr>
      <w:r>
        <w:t>Total-reward view</w:t>
      </w:r>
    </w:p>
    <w:p>
      <w:pPr>
        <w:pStyle w:val="ListBullet"/>
      </w:pPr>
      <w:r>
        <w:t>Compensation and benefit reports</w:t>
      </w:r>
    </w:p>
    <w:p>
      <w:pPr>
        <w:pStyle w:val="ListBullet"/>
      </w:pPr>
      <w:r>
        <w:t>Restricted access and audit</w:t>
      </w:r>
    </w:p>
    <w:p>
      <w:pPr>
        <w:pStyle w:val="Heading2"/>
      </w:pPr>
      <w:r>
        <w:t>HRM-035 — Compensation Planning and Total Rewards</w:t>
      </w:r>
    </w:p>
    <w:p>
      <w:pPr>
        <w:spacing w:after="60"/>
      </w:pPr>
      <w:r>
        <w:rPr>
          <w:b/>
          <w:color w:val="17365D"/>
        </w:rPr>
        <w:t xml:space="preserve">Capability tier: </w:t>
      </w:r>
      <w:r>
        <w:t>Advanced</w:t>
      </w:r>
    </w:p>
    <w:p>
      <w:pPr>
        <w:pStyle w:val="ListBullet"/>
      </w:pPr>
      <w:r>
        <w:t>Compensation-review cycles</w:t>
      </w:r>
    </w:p>
    <w:p>
      <w:pPr>
        <w:pStyle w:val="ListBullet"/>
      </w:pPr>
      <w:r>
        <w:t>Departmental review budgets</w:t>
      </w:r>
    </w:p>
    <w:p>
      <w:pPr>
        <w:pStyle w:val="ListBullet"/>
      </w:pPr>
      <w:r>
        <w:t>Market salary benchmarks</w:t>
      </w:r>
    </w:p>
    <w:p>
      <w:pPr>
        <w:pStyle w:val="ListBullet"/>
      </w:pPr>
      <w:r>
        <w:t>Compa-ratio and range penetration</w:t>
      </w:r>
    </w:p>
    <w:p>
      <w:pPr>
        <w:pStyle w:val="ListBullet"/>
      </w:pPr>
      <w:r>
        <w:t>Merit and promotion matrices</w:t>
      </w:r>
    </w:p>
    <w:p>
      <w:pPr>
        <w:pStyle w:val="ListBullet"/>
      </w:pPr>
      <w:r>
        <w:t>Cost-of-living and market adjustments</w:t>
      </w:r>
    </w:p>
    <w:p>
      <w:pPr>
        <w:pStyle w:val="ListBullet"/>
      </w:pPr>
      <w:r>
        <w:t>Manager worksheets and recommendations</w:t>
      </w:r>
    </w:p>
    <w:p>
      <w:pPr>
        <w:pStyle w:val="ListBullet"/>
      </w:pPr>
      <w:r>
        <w:t>Budget and guideline enforcement</w:t>
      </w:r>
    </w:p>
    <w:p>
      <w:pPr>
        <w:pStyle w:val="ListBullet"/>
      </w:pPr>
      <w:r>
        <w:t>Calibration and approval</w:t>
      </w:r>
    </w:p>
    <w:p>
      <w:pPr>
        <w:pStyle w:val="ListBullet"/>
      </w:pPr>
      <w:r>
        <w:t>Variable-pay plans</w:t>
      </w:r>
    </w:p>
    <w:p>
      <w:pPr>
        <w:pStyle w:val="ListBullet"/>
      </w:pPr>
      <w:r>
        <w:t>Individual, team and company targets</w:t>
      </w:r>
    </w:p>
    <w:p>
      <w:pPr>
        <w:pStyle w:val="ListBullet"/>
      </w:pPr>
      <w:r>
        <w:t>Bonuses and incentives</w:t>
      </w:r>
    </w:p>
    <w:p>
      <w:pPr>
        <w:pStyle w:val="ListBullet"/>
      </w:pPr>
      <w:r>
        <w:t>Total-reward statements</w:t>
      </w:r>
    </w:p>
    <w:p>
      <w:pPr>
        <w:pStyle w:val="ListBullet"/>
      </w:pPr>
      <w:r>
        <w:t>Pay-equity and compensation analytics</w:t>
      </w:r>
    </w:p>
    <w:p>
      <w:pPr>
        <w:pStyle w:val="Heading2"/>
      </w:pPr>
      <w:r>
        <w:t>HRM-036 — Full Benefits Administration</w:t>
      </w:r>
    </w:p>
    <w:p>
      <w:pPr>
        <w:spacing w:after="60"/>
      </w:pPr>
      <w:r>
        <w:rPr>
          <w:b/>
          <w:color w:val="17365D"/>
        </w:rPr>
        <w:t xml:space="preserve">Capability tier: </w:t>
      </w:r>
      <w:r>
        <w:t>Advanced</w:t>
      </w:r>
    </w:p>
    <w:p>
      <w:pPr>
        <w:pStyle w:val="ListBullet"/>
      </w:pPr>
      <w:r>
        <w:t>Benefit programmes, plans and options</w:t>
      </w:r>
    </w:p>
    <w:p>
      <w:pPr>
        <w:pStyle w:val="ListBullet"/>
      </w:pPr>
      <w:r>
        <w:t>Eligibility profiles</w:t>
      </w:r>
    </w:p>
    <w:p>
      <w:pPr>
        <w:pStyle w:val="ListBullet"/>
      </w:pPr>
      <w:r>
        <w:t>New-hire and open enrolment</w:t>
      </w:r>
    </w:p>
    <w:p>
      <w:pPr>
        <w:pStyle w:val="ListBullet"/>
      </w:pPr>
      <w:r>
        <w:t>Life events</w:t>
      </w:r>
    </w:p>
    <w:p>
      <w:pPr>
        <w:pStyle w:val="ListBullet"/>
      </w:pPr>
      <w:r>
        <w:t>Dependants and beneficiaries</w:t>
      </w:r>
    </w:p>
    <w:p>
      <w:pPr>
        <w:pStyle w:val="ListBullet"/>
      </w:pPr>
      <w:r>
        <w:t>Coverage levels</w:t>
      </w:r>
    </w:p>
    <w:p>
      <w:pPr>
        <w:pStyle w:val="ListBullet"/>
      </w:pPr>
      <w:r>
        <w:t>Waiting periods</w:t>
      </w:r>
    </w:p>
    <w:p>
      <w:pPr>
        <w:pStyle w:val="ListBullet"/>
      </w:pPr>
      <w:r>
        <w:t>Employer and employee contributions</w:t>
      </w:r>
    </w:p>
    <w:p>
      <w:pPr>
        <w:pStyle w:val="ListBullet"/>
      </w:pPr>
      <w:r>
        <w:t>Flexible benefit credits</w:t>
      </w:r>
    </w:p>
    <w:p>
      <w:pPr>
        <w:pStyle w:val="ListBullet"/>
      </w:pPr>
      <w:r>
        <w:t>Pension, medical, life and disability plans</w:t>
      </w:r>
    </w:p>
    <w:p>
      <w:pPr>
        <w:pStyle w:val="ListBullet"/>
      </w:pPr>
      <w:r>
        <w:t>Housing, education and wellness benefits</w:t>
      </w:r>
    </w:p>
    <w:p>
      <w:pPr>
        <w:pStyle w:val="ListBullet"/>
      </w:pPr>
      <w:r>
        <w:t>Provider integration</w:t>
      </w:r>
    </w:p>
    <w:p>
      <w:pPr>
        <w:pStyle w:val="ListBullet"/>
      </w:pPr>
      <w:r>
        <w:t>Claims references</w:t>
      </w:r>
    </w:p>
    <w:p>
      <w:pPr>
        <w:pStyle w:val="ListBullet"/>
      </w:pPr>
      <w:r>
        <w:t>Coverage suspension and termination</w:t>
      </w:r>
    </w:p>
    <w:p>
      <w:pPr>
        <w:pStyle w:val="ListBullet"/>
      </w:pPr>
      <w:r>
        <w:t>Payroll deductions</w:t>
      </w:r>
    </w:p>
    <w:p>
      <w:pPr>
        <w:pStyle w:val="ListBullet"/>
      </w:pPr>
      <w:r>
        <w:t>Provider reconciliation and benefit-cost reporting</w:t>
      </w:r>
    </w:p>
    <w:p>
      <w:pPr>
        <w:pStyle w:val="Heading2"/>
      </w:pPr>
      <w:r>
        <w:t>HRM-037 — Employee Insurance and Claims Administration</w:t>
      </w:r>
    </w:p>
    <w:p>
      <w:pPr>
        <w:spacing w:after="60"/>
      </w:pPr>
      <w:r>
        <w:rPr>
          <w:b/>
          <w:color w:val="17365D"/>
        </w:rPr>
        <w:t xml:space="preserve">Capability tier: </w:t>
      </w:r>
      <w:r>
        <w:t>Advanced</w:t>
      </w:r>
    </w:p>
    <w:p>
      <w:pPr>
        <w:pStyle w:val="ListBullet"/>
      </w:pPr>
      <w:r>
        <w:t>Insurance providers and policies</w:t>
      </w:r>
    </w:p>
    <w:p>
      <w:pPr>
        <w:pStyle w:val="ListBullet"/>
      </w:pPr>
      <w:r>
        <w:t>Coverage and premiums</w:t>
      </w:r>
    </w:p>
    <w:p>
      <w:pPr>
        <w:pStyle w:val="ListBullet"/>
      </w:pPr>
      <w:r>
        <w:t>Employee and employer contributions</w:t>
      </w:r>
    </w:p>
    <w:p>
      <w:pPr>
        <w:pStyle w:val="ListBullet"/>
      </w:pPr>
      <w:r>
        <w:t>Dependants and beneficiaries</w:t>
      </w:r>
    </w:p>
    <w:p>
      <w:pPr>
        <w:pStyle w:val="ListBullet"/>
      </w:pPr>
      <w:r>
        <w:t>Effective dates and policy documents</w:t>
      </w:r>
    </w:p>
    <w:p>
      <w:pPr>
        <w:pStyle w:val="ListBullet"/>
      </w:pPr>
      <w:r>
        <w:t>Claim notification and reference</w:t>
      </w:r>
    </w:p>
    <w:p>
      <w:pPr>
        <w:pStyle w:val="ListBullet"/>
      </w:pPr>
      <w:r>
        <w:t>Supporting documents</w:t>
      </w:r>
    </w:p>
    <w:p>
      <w:pPr>
        <w:pStyle w:val="ListBullet"/>
      </w:pPr>
      <w:r>
        <w:t>Claim status and provider response</w:t>
      </w:r>
    </w:p>
    <w:p>
      <w:pPr>
        <w:pStyle w:val="ListBullet"/>
      </w:pPr>
      <w:r>
        <w:t>Settlement reference</w:t>
      </w:r>
    </w:p>
    <w:p>
      <w:pPr>
        <w:pStyle w:val="ListBullet"/>
      </w:pPr>
      <w:r>
        <w:t>Renewal and termination</w:t>
      </w:r>
    </w:p>
    <w:p>
      <w:pPr>
        <w:pStyle w:val="ListBullet"/>
      </w:pPr>
      <w:r>
        <w:t>Claims history with medical-data minimization</w:t>
      </w:r>
    </w:p>
    <w:p>
      <w:r>
        <w:br w:type="page"/>
      </w:r>
    </w:p>
    <w:p>
      <w:pPr>
        <w:pStyle w:val="Heading1"/>
      </w:pPr>
      <w:r>
        <w:t>F. Performance, Learning, Skills and Talent</w:t>
      </w:r>
    </w:p>
    <w:p>
      <w:r>
        <w:t>Capabilities for performance, learning, skills, career growth, talent review and organizational succession.</w:t>
      </w:r>
    </w:p>
    <w:p>
      <w:pPr>
        <w:pStyle w:val="Heading2"/>
      </w:pPr>
      <w:r>
        <w:t>HRM-038 — Performance Management</w:t>
      </w:r>
    </w:p>
    <w:p>
      <w:pPr>
        <w:spacing w:after="60"/>
      </w:pPr>
      <w:r>
        <w:rPr>
          <w:b/>
          <w:color w:val="17365D"/>
        </w:rPr>
        <w:t xml:space="preserve">Capability tier: </w:t>
      </w:r>
      <w:r>
        <w:t>Advanced</w:t>
      </w:r>
    </w:p>
    <w:p>
      <w:pPr>
        <w:pStyle w:val="ListBullet"/>
      </w:pPr>
      <w:r>
        <w:t>Performance cycles and review periods</w:t>
      </w:r>
    </w:p>
    <w:p>
      <w:pPr>
        <w:pStyle w:val="ListBullet"/>
      </w:pPr>
      <w:r>
        <w:t>Goal and KPI libraries</w:t>
      </w:r>
    </w:p>
    <w:p>
      <w:pPr>
        <w:pStyle w:val="ListBullet"/>
      </w:pPr>
      <w:r>
        <w:t>Goal cascading, weighting and alignment</w:t>
      </w:r>
    </w:p>
    <w:p>
      <w:pPr>
        <w:pStyle w:val="ListBullet"/>
      </w:pPr>
      <w:r>
        <w:t>Competency assessment</w:t>
      </w:r>
    </w:p>
    <w:p>
      <w:pPr>
        <w:pStyle w:val="ListBullet"/>
      </w:pPr>
      <w:r>
        <w:t>Self, manager, peer and 360-degree review</w:t>
      </w:r>
    </w:p>
    <w:p>
      <w:pPr>
        <w:pStyle w:val="ListBullet"/>
      </w:pPr>
      <w:r>
        <w:t>Continuous feedback and check-ins</w:t>
      </w:r>
    </w:p>
    <w:p>
      <w:pPr>
        <w:pStyle w:val="ListBullet"/>
      </w:pPr>
      <w:r>
        <w:t>Mid-year and annual reviews</w:t>
      </w:r>
    </w:p>
    <w:p>
      <w:pPr>
        <w:pStyle w:val="ListBullet"/>
      </w:pPr>
      <w:r>
        <w:t>Evidence and attachments</w:t>
      </w:r>
    </w:p>
    <w:p>
      <w:pPr>
        <w:pStyle w:val="ListBullet"/>
      </w:pPr>
      <w:r>
        <w:t>Rating scales and calibration</w:t>
      </w:r>
    </w:p>
    <w:p>
      <w:pPr>
        <w:pStyle w:val="ListBullet"/>
      </w:pPr>
      <w:r>
        <w:t>Review acknowledgement</w:t>
      </w:r>
    </w:p>
    <w:p>
      <w:pPr>
        <w:pStyle w:val="ListBullet"/>
      </w:pPr>
      <w:r>
        <w:t>Disagreement and appeal</w:t>
      </w:r>
    </w:p>
    <w:p>
      <w:pPr>
        <w:pStyle w:val="ListBullet"/>
      </w:pPr>
      <w:r>
        <w:t>Performance improvement plans</w:t>
      </w:r>
    </w:p>
    <w:p>
      <w:pPr>
        <w:pStyle w:val="ListBullet"/>
      </w:pPr>
      <w:r>
        <w:t>Recognition and development recommendations</w:t>
      </w:r>
    </w:p>
    <w:p>
      <w:pPr>
        <w:pStyle w:val="ListBullet"/>
      </w:pPr>
      <w:r>
        <w:t>Performance history, analytics and reward linkage</w:t>
      </w:r>
    </w:p>
    <w:p>
      <w:pPr>
        <w:pStyle w:val="Heading2"/>
      </w:pPr>
      <w:r>
        <w:t>HRM-039 — Learning and Career Development</w:t>
      </w:r>
    </w:p>
    <w:p>
      <w:pPr>
        <w:spacing w:after="60"/>
      </w:pPr>
      <w:r>
        <w:rPr>
          <w:b/>
          <w:color w:val="17365D"/>
        </w:rPr>
        <w:t xml:space="preserve">Capability tier: </w:t>
      </w:r>
      <w:r>
        <w:t>Advanced</w:t>
      </w:r>
    </w:p>
    <w:p>
      <w:pPr>
        <w:pStyle w:val="ListBullet"/>
      </w:pPr>
      <w:r>
        <w:t>Learning catalogue and providers</w:t>
      </w:r>
    </w:p>
    <w:p>
      <w:pPr>
        <w:pStyle w:val="ListBullet"/>
      </w:pPr>
      <w:r>
        <w:t>Courses, curricula and learning paths</w:t>
      </w:r>
    </w:p>
    <w:p>
      <w:pPr>
        <w:pStyle w:val="ListBullet"/>
      </w:pPr>
      <w:r>
        <w:t>Prerequisites and equivalencies</w:t>
      </w:r>
    </w:p>
    <w:p>
      <w:pPr>
        <w:pStyle w:val="ListBullet"/>
      </w:pPr>
      <w:r>
        <w:t>Classrooms, instructors, facilities and capacity</w:t>
      </w:r>
    </w:p>
    <w:p>
      <w:pPr>
        <w:pStyle w:val="ListBullet"/>
      </w:pPr>
      <w:r>
        <w:t>Online and virtual learning</w:t>
      </w:r>
    </w:p>
    <w:p>
      <w:pPr>
        <w:pStyle w:val="ListBullet"/>
      </w:pPr>
      <w:r>
        <w:t>Enrolment, approval and waitlists</w:t>
      </w:r>
    </w:p>
    <w:p>
      <w:pPr>
        <w:pStyle w:val="ListBullet"/>
      </w:pPr>
      <w:r>
        <w:t>Mandatory training</w:t>
      </w:r>
    </w:p>
    <w:p>
      <w:pPr>
        <w:pStyle w:val="ListBullet"/>
      </w:pPr>
      <w:r>
        <w:t>Attendance and assessment</w:t>
      </w:r>
    </w:p>
    <w:p>
      <w:pPr>
        <w:pStyle w:val="ListBullet"/>
      </w:pPr>
      <w:r>
        <w:t>Certificates, expiry and recertification</w:t>
      </w:r>
    </w:p>
    <w:p>
      <w:pPr>
        <w:pStyle w:val="ListBullet"/>
      </w:pPr>
      <w:r>
        <w:t>Continuing professional development points</w:t>
      </w:r>
    </w:p>
    <w:p>
      <w:pPr>
        <w:pStyle w:val="ListBullet"/>
      </w:pPr>
      <w:r>
        <w:t>External training and costs</w:t>
      </w:r>
    </w:p>
    <w:p>
      <w:pPr>
        <w:pStyle w:val="ListBullet"/>
      </w:pPr>
      <w:r>
        <w:t>Training agreements and bonds</w:t>
      </w:r>
    </w:p>
    <w:p>
      <w:pPr>
        <w:pStyle w:val="ListBullet"/>
      </w:pPr>
      <w:r>
        <w:t>Mentoring and coaching</w:t>
      </w:r>
    </w:p>
    <w:p>
      <w:pPr>
        <w:pStyle w:val="ListBullet"/>
      </w:pPr>
      <w:r>
        <w:t>Individual development plans</w:t>
      </w:r>
    </w:p>
    <w:p>
      <w:pPr>
        <w:pStyle w:val="ListBullet"/>
      </w:pPr>
      <w:r>
        <w:t>Training effectiveness and compliance reporting</w:t>
      </w:r>
    </w:p>
    <w:p>
      <w:pPr>
        <w:pStyle w:val="Heading2"/>
      </w:pPr>
      <w:r>
        <w:t>HRM-040 — Talent and Succession Management</w:t>
      </w:r>
    </w:p>
    <w:p>
      <w:pPr>
        <w:spacing w:after="60"/>
      </w:pPr>
      <w:r>
        <w:rPr>
          <w:b/>
          <w:color w:val="17365D"/>
        </w:rPr>
        <w:t xml:space="preserve">Capability tier: </w:t>
      </w:r>
      <w:r>
        <w:t>Advanced</w:t>
      </w:r>
    </w:p>
    <w:p>
      <w:pPr>
        <w:pStyle w:val="ListBullet"/>
      </w:pPr>
      <w:r>
        <w:t>Talent identification and pools</w:t>
      </w:r>
    </w:p>
    <w:p>
      <w:pPr>
        <w:pStyle w:val="ListBullet"/>
      </w:pPr>
      <w:r>
        <w:t>Potential and nine-box assessment</w:t>
      </w:r>
    </w:p>
    <w:p>
      <w:pPr>
        <w:pStyle w:val="ListBullet"/>
      </w:pPr>
      <w:r>
        <w:t>Critical roles</w:t>
      </w:r>
    </w:p>
    <w:p>
      <w:pPr>
        <w:pStyle w:val="ListBullet"/>
      </w:pPr>
      <w:r>
        <w:t>Successor nominations</w:t>
      </w:r>
    </w:p>
    <w:p>
      <w:pPr>
        <w:pStyle w:val="ListBullet"/>
      </w:pPr>
      <w:r>
        <w:t>Readiness levels</w:t>
      </w:r>
    </w:p>
    <w:p>
      <w:pPr>
        <w:pStyle w:val="ListBullet"/>
      </w:pPr>
      <w:r>
        <w:t>Emergency successors</w:t>
      </w:r>
    </w:p>
    <w:p>
      <w:pPr>
        <w:pStyle w:val="ListBullet"/>
      </w:pPr>
      <w:r>
        <w:t>Succession plans</w:t>
      </w:r>
    </w:p>
    <w:p>
      <w:pPr>
        <w:pStyle w:val="ListBullet"/>
      </w:pPr>
      <w:r>
        <w:t>Leadership pipeline</w:t>
      </w:r>
    </w:p>
    <w:p>
      <w:pPr>
        <w:pStyle w:val="ListBullet"/>
      </w:pPr>
      <w:r>
        <w:t>Retention and flight risk</w:t>
      </w:r>
    </w:p>
    <w:p>
      <w:pPr>
        <w:pStyle w:val="ListBullet"/>
      </w:pPr>
      <w:r>
        <w:t>Career aspirations</w:t>
      </w:r>
    </w:p>
    <w:p>
      <w:pPr>
        <w:pStyle w:val="ListBullet"/>
      </w:pPr>
      <w:r>
        <w:t>Development actions</w:t>
      </w:r>
    </w:p>
    <w:p>
      <w:pPr>
        <w:pStyle w:val="ListBullet"/>
      </w:pPr>
      <w:r>
        <w:t>Confidential talent reviews</w:t>
      </w:r>
    </w:p>
    <w:p>
      <w:pPr>
        <w:pStyle w:val="ListBullet"/>
      </w:pPr>
      <w:r>
        <w:t>Succession coverage analytics</w:t>
      </w:r>
    </w:p>
    <w:p>
      <w:pPr>
        <w:pStyle w:val="Heading2"/>
      </w:pPr>
      <w:r>
        <w:t>HRM-041 — Skills Intelligence and Internal Talent Marketplace</w:t>
      </w:r>
    </w:p>
    <w:p>
      <w:pPr>
        <w:spacing w:after="60"/>
      </w:pPr>
      <w:r>
        <w:rPr>
          <w:b/>
          <w:color w:val="17365D"/>
        </w:rPr>
        <w:t xml:space="preserve">Capability tier: </w:t>
      </w:r>
      <w:r>
        <w:t>Enterprise</w:t>
      </w:r>
    </w:p>
    <w:p>
      <w:pPr>
        <w:pStyle w:val="ListBullet"/>
      </w:pPr>
      <w:r>
        <w:t>Skills library and taxonomy</w:t>
      </w:r>
    </w:p>
    <w:p>
      <w:pPr>
        <w:pStyle w:val="ListBullet"/>
      </w:pPr>
      <w:r>
        <w:t>Skill aliases and relationships</w:t>
      </w:r>
    </w:p>
    <w:p>
      <w:pPr>
        <w:pStyle w:val="ListBullet"/>
      </w:pPr>
      <w:r>
        <w:t>Proficiency scales</w:t>
      </w:r>
    </w:p>
    <w:p>
      <w:pPr>
        <w:pStyle w:val="ListBullet"/>
      </w:pPr>
      <w:r>
        <w:t>Verified and self-declared skills</w:t>
      </w:r>
    </w:p>
    <w:p>
      <w:pPr>
        <w:pStyle w:val="ListBullet"/>
      </w:pPr>
      <w:r>
        <w:t>Manager, assessment and certificate-derived skills</w:t>
      </w:r>
    </w:p>
    <w:p>
      <w:pPr>
        <w:pStyle w:val="ListBullet"/>
      </w:pPr>
      <w:r>
        <w:t>Required skills by job and position</w:t>
      </w:r>
    </w:p>
    <w:p>
      <w:pPr>
        <w:pStyle w:val="ListBullet"/>
      </w:pPr>
      <w:r>
        <w:t>Skills inventory and gaps</w:t>
      </w:r>
    </w:p>
    <w:p>
      <w:pPr>
        <w:pStyle w:val="ListBullet"/>
      </w:pPr>
      <w:r>
        <w:t>Scarce-skill identification</w:t>
      </w:r>
    </w:p>
    <w:p>
      <w:pPr>
        <w:pStyle w:val="ListBullet"/>
      </w:pPr>
      <w:r>
        <w:t>Internal vacancies, projects and gigs</w:t>
      </w:r>
    </w:p>
    <w:p>
      <w:pPr>
        <w:pStyle w:val="ListBullet"/>
      </w:pPr>
      <w:r>
        <w:t>Mentorship opportunities</w:t>
      </w:r>
    </w:p>
    <w:p>
      <w:pPr>
        <w:pStyle w:val="ListBullet"/>
      </w:pPr>
      <w:r>
        <w:t>Career and learning recommendations</w:t>
      </w:r>
    </w:p>
    <w:p>
      <w:pPr>
        <w:pStyle w:val="ListBullet"/>
      </w:pPr>
      <w:r>
        <w:t>Talent and candidate matching</w:t>
      </w:r>
    </w:p>
    <w:p>
      <w:pPr>
        <w:pStyle w:val="ListBullet"/>
      </w:pPr>
      <w:r>
        <w:t>Workforce redeployment</w:t>
      </w:r>
    </w:p>
    <w:p>
      <w:pPr>
        <w:pStyle w:val="ListBullet"/>
      </w:pPr>
      <w:r>
        <w:t>Skills-demand forecasting</w:t>
      </w:r>
    </w:p>
    <w:p>
      <w:pPr>
        <w:pStyle w:val="ListBullet"/>
      </w:pPr>
      <w:r>
        <w:t>Explainable recommendations</w:t>
      </w:r>
    </w:p>
    <w:p>
      <w:r>
        <w:br w:type="page"/>
      </w:r>
    </w:p>
    <w:p>
      <w:pPr>
        <w:pStyle w:val="Heading1"/>
      </w:pPr>
      <w:r>
        <w:t>G. Employee and Manager Experience</w:t>
      </w:r>
    </w:p>
    <w:p>
      <w:r>
        <w:t>Employee- and manager-facing experiences that reduce HR administration and improve access, trust and communication.</w:t>
      </w:r>
    </w:p>
    <w:p>
      <w:pPr>
        <w:pStyle w:val="Heading2"/>
      </w:pPr>
      <w:r>
        <w:t>HRM-042 — Employee Self-Service</w:t>
      </w:r>
    </w:p>
    <w:p>
      <w:pPr>
        <w:spacing w:after="60"/>
      </w:pPr>
      <w:r>
        <w:rPr>
          <w:b/>
          <w:color w:val="17365D"/>
        </w:rPr>
        <w:t xml:space="preserve">Capability tier: </w:t>
      </w:r>
      <w:r>
        <w:t>Essentials</w:t>
      </w:r>
    </w:p>
    <w:p>
      <w:pPr>
        <w:pStyle w:val="ListBullet"/>
      </w:pPr>
      <w:r>
        <w:t>Personal profile and change requests</w:t>
      </w:r>
    </w:p>
    <w:p>
      <w:pPr>
        <w:pStyle w:val="ListBullet"/>
      </w:pPr>
      <w:r>
        <w:t>Contract, job and organization view</w:t>
      </w:r>
    </w:p>
    <w:p>
      <w:pPr>
        <w:pStyle w:val="ListBullet"/>
      </w:pPr>
      <w:r>
        <w:t>Leave, balances and attendance corrections</w:t>
      </w:r>
    </w:p>
    <w:p>
      <w:pPr>
        <w:pStyle w:val="ListBullet"/>
      </w:pPr>
      <w:r>
        <w:t>Schedules and timesheets</w:t>
      </w:r>
    </w:p>
    <w:p>
      <w:pPr>
        <w:pStyle w:val="ListBullet"/>
      </w:pPr>
      <w:r>
        <w:t>Payslips and payroll information</w:t>
      </w:r>
    </w:p>
    <w:p>
      <w:pPr>
        <w:pStyle w:val="ListBullet"/>
      </w:pPr>
      <w:r>
        <w:t>Benefits and total rewards</w:t>
      </w:r>
    </w:p>
    <w:p>
      <w:pPr>
        <w:pStyle w:val="ListBullet"/>
      </w:pPr>
      <w:r>
        <w:t>Goals, reviews and learning</w:t>
      </w:r>
    </w:p>
    <w:p>
      <w:pPr>
        <w:pStyle w:val="ListBullet"/>
      </w:pPr>
      <w:r>
        <w:t>HR requests and documents</w:t>
      </w:r>
    </w:p>
    <w:p>
      <w:pPr>
        <w:pStyle w:val="ListBullet"/>
      </w:pPr>
      <w:r>
        <w:t>Grievances and protected channels</w:t>
      </w:r>
    </w:p>
    <w:p>
      <w:pPr>
        <w:pStyle w:val="ListBullet"/>
      </w:pPr>
      <w:r>
        <w:t>Resignation submission</w:t>
      </w:r>
    </w:p>
    <w:p>
      <w:pPr>
        <w:pStyle w:val="ListBullet"/>
      </w:pPr>
      <w:r>
        <w:t>Notifications and request tracking</w:t>
      </w:r>
    </w:p>
    <w:p>
      <w:pPr>
        <w:pStyle w:val="Heading2"/>
      </w:pPr>
      <w:r>
        <w:t>HRM-043 — Manager Self-Service</w:t>
      </w:r>
    </w:p>
    <w:p>
      <w:pPr>
        <w:spacing w:after="60"/>
      </w:pPr>
      <w:r>
        <w:rPr>
          <w:b/>
          <w:color w:val="17365D"/>
        </w:rPr>
        <w:t xml:space="preserve">Capability tier: </w:t>
      </w:r>
      <w:r>
        <w:t>Essentials</w:t>
      </w:r>
    </w:p>
    <w:p>
      <w:pPr>
        <w:pStyle w:val="ListBullet"/>
      </w:pPr>
      <w:r>
        <w:t>Team directory and reporting lines</w:t>
      </w:r>
    </w:p>
    <w:p>
      <w:pPr>
        <w:pStyle w:val="ListBullet"/>
      </w:pPr>
      <w:r>
        <w:t>Team attendance, leave and schedule</w:t>
      </w:r>
    </w:p>
    <w:p>
      <w:pPr>
        <w:pStyle w:val="ListBullet"/>
      </w:pPr>
      <w:r>
        <w:t>Approvals and delegation</w:t>
      </w:r>
    </w:p>
    <w:p>
      <w:pPr>
        <w:pStyle w:val="ListBullet"/>
      </w:pPr>
      <w:r>
        <w:t>Recruitment and replacement requests</w:t>
      </w:r>
    </w:p>
    <w:p>
      <w:pPr>
        <w:pStyle w:val="ListBullet"/>
      </w:pPr>
      <w:r>
        <w:t>Onboarding and probation tracking</w:t>
      </w:r>
    </w:p>
    <w:p>
      <w:pPr>
        <w:pStyle w:val="ListBullet"/>
      </w:pPr>
      <w:r>
        <w:t>Performance and goal management</w:t>
      </w:r>
    </w:p>
    <w:p>
      <w:pPr>
        <w:pStyle w:val="ListBullet"/>
      </w:pPr>
      <w:r>
        <w:t>Promotion, transfer and change requests</w:t>
      </w:r>
    </w:p>
    <w:p>
      <w:pPr>
        <w:pStyle w:val="ListBullet"/>
      </w:pPr>
      <w:r>
        <w:t>Contract-expiry monitoring</w:t>
      </w:r>
    </w:p>
    <w:p>
      <w:pPr>
        <w:pStyle w:val="ListBullet"/>
      </w:pPr>
      <w:r>
        <w:t>Training and skills</w:t>
      </w:r>
    </w:p>
    <w:p>
      <w:pPr>
        <w:pStyle w:val="ListBullet"/>
      </w:pPr>
      <w:r>
        <w:t>Disciplinary initiation</w:t>
      </w:r>
    </w:p>
    <w:p>
      <w:pPr>
        <w:pStyle w:val="ListBullet"/>
      </w:pPr>
      <w:r>
        <w:t>Team analytics within authorized scope</w:t>
      </w:r>
    </w:p>
    <w:p>
      <w:pPr>
        <w:pStyle w:val="Heading2"/>
      </w:pPr>
      <w:r>
        <w:t>HRM-044 — HR Service Desk and Request Management</w:t>
      </w:r>
    </w:p>
    <w:p>
      <w:pPr>
        <w:spacing w:after="60"/>
      </w:pPr>
      <w:r>
        <w:rPr>
          <w:b/>
          <w:color w:val="17365D"/>
        </w:rPr>
        <w:t xml:space="preserve">Capability tier: </w:t>
      </w:r>
      <w:r>
        <w:t>Essentials</w:t>
      </w:r>
    </w:p>
    <w:p>
      <w:pPr>
        <w:pStyle w:val="ListBullet"/>
      </w:pPr>
      <w:r>
        <w:t>HR request catalogue</w:t>
      </w:r>
    </w:p>
    <w:p>
      <w:pPr>
        <w:pStyle w:val="ListBullet"/>
      </w:pPr>
      <w:r>
        <w:t>Payroll, benefit, contract and data queries</w:t>
      </w:r>
    </w:p>
    <w:p>
      <w:pPr>
        <w:pStyle w:val="ListBullet"/>
      </w:pPr>
      <w:r>
        <w:t>Employment-letter requests</w:t>
      </w:r>
    </w:p>
    <w:p>
      <w:pPr>
        <w:pStyle w:val="ListBullet"/>
      </w:pPr>
      <w:r>
        <w:t>Case intake</w:t>
      </w:r>
    </w:p>
    <w:p>
      <w:pPr>
        <w:pStyle w:val="ListBullet"/>
      </w:pPr>
      <w:r>
        <w:t>Priority and assignment</w:t>
      </w:r>
    </w:p>
    <w:p>
      <w:pPr>
        <w:pStyle w:val="ListBullet"/>
      </w:pPr>
      <w:r>
        <w:t>Service-level targets</w:t>
      </w:r>
    </w:p>
    <w:p>
      <w:pPr>
        <w:pStyle w:val="ListBullet"/>
      </w:pPr>
      <w:r>
        <w:t>Internal notes</w:t>
      </w:r>
    </w:p>
    <w:p>
      <w:pPr>
        <w:pStyle w:val="ListBullet"/>
      </w:pPr>
      <w:r>
        <w:t>Employee communication</w:t>
      </w:r>
    </w:p>
    <w:p>
      <w:pPr>
        <w:pStyle w:val="ListBullet"/>
      </w:pPr>
      <w:r>
        <w:t>Escalation and transfer</w:t>
      </w:r>
    </w:p>
    <w:p>
      <w:pPr>
        <w:pStyle w:val="ListBullet"/>
      </w:pPr>
      <w:r>
        <w:t>Resolution and closure</w:t>
      </w:r>
    </w:p>
    <w:p>
      <w:pPr>
        <w:pStyle w:val="ListBullet"/>
      </w:pPr>
      <w:r>
        <w:t>Satisfaction feedback</w:t>
      </w:r>
    </w:p>
    <w:p>
      <w:pPr>
        <w:pStyle w:val="ListBullet"/>
      </w:pPr>
      <w:r>
        <w:t>Request analytics</w:t>
      </w:r>
    </w:p>
    <w:p>
      <w:pPr>
        <w:pStyle w:val="Heading2"/>
      </w:pPr>
      <w:r>
        <w:t>HRM-045 — Employee Request and Letter Centre</w:t>
      </w:r>
    </w:p>
    <w:p>
      <w:pPr>
        <w:spacing w:after="60"/>
      </w:pPr>
      <w:r>
        <w:rPr>
          <w:b/>
          <w:color w:val="17365D"/>
        </w:rPr>
        <w:t xml:space="preserve">Capability tier: </w:t>
      </w:r>
      <w:r>
        <w:t>Essentials</w:t>
      </w:r>
    </w:p>
    <w:p>
      <w:pPr>
        <w:pStyle w:val="ListBullet"/>
      </w:pPr>
      <w:r>
        <w:t>Employment and salary confirmation</w:t>
      </w:r>
    </w:p>
    <w:p>
      <w:pPr>
        <w:pStyle w:val="ListBullet"/>
      </w:pPr>
      <w:r>
        <w:t>Introduction and bank letters</w:t>
      </w:r>
    </w:p>
    <w:p>
      <w:pPr>
        <w:pStyle w:val="ListBullet"/>
      </w:pPr>
      <w:r>
        <w:t>Visa and reference letters</w:t>
      </w:r>
    </w:p>
    <w:p>
      <w:pPr>
        <w:pStyle w:val="ListBullet"/>
      </w:pPr>
      <w:r>
        <w:t>Service certificate</w:t>
      </w:r>
    </w:p>
    <w:p>
      <w:pPr>
        <w:pStyle w:val="ListBullet"/>
      </w:pPr>
      <w:r>
        <w:t>Leave confirmation</w:t>
      </w:r>
    </w:p>
    <w:p>
      <w:pPr>
        <w:pStyle w:val="ListBullet"/>
      </w:pPr>
      <w:r>
        <w:t>Custom HR letters</w:t>
      </w:r>
    </w:p>
    <w:p>
      <w:pPr>
        <w:pStyle w:val="ListBullet"/>
      </w:pPr>
      <w:r>
        <w:t>Request purpose and addressee</w:t>
      </w:r>
    </w:p>
    <w:p>
      <w:pPr>
        <w:pStyle w:val="ListBullet"/>
      </w:pPr>
      <w:r>
        <w:t>Template merge</w:t>
      </w:r>
    </w:p>
    <w:p>
      <w:pPr>
        <w:pStyle w:val="ListBullet"/>
      </w:pPr>
      <w:r>
        <w:t>Approval and digital signature</w:t>
      </w:r>
    </w:p>
    <w:p>
      <w:pPr>
        <w:pStyle w:val="ListBullet"/>
      </w:pPr>
      <w:r>
        <w:t>Verification code</w:t>
      </w:r>
    </w:p>
    <w:p>
      <w:pPr>
        <w:pStyle w:val="ListBullet"/>
      </w:pPr>
      <w:r>
        <w:t>Download, delivery and history</w:t>
      </w:r>
    </w:p>
    <w:p>
      <w:pPr>
        <w:pStyle w:val="Heading2"/>
      </w:pPr>
      <w:r>
        <w:t>HRM-046 — HR Knowledge Base and Digital Assistance</w:t>
      </w:r>
    </w:p>
    <w:p>
      <w:pPr>
        <w:spacing w:after="60"/>
      </w:pPr>
      <w:r>
        <w:rPr>
          <w:b/>
          <w:color w:val="17365D"/>
        </w:rPr>
        <w:t xml:space="preserve">Capability tier: </w:t>
      </w:r>
      <w:r>
        <w:t>Advanced</w:t>
      </w:r>
    </w:p>
    <w:p>
      <w:pPr>
        <w:pStyle w:val="ListBullet"/>
      </w:pPr>
      <w:r>
        <w:t>HR policy and FAQ articles</w:t>
      </w:r>
    </w:p>
    <w:p>
      <w:pPr>
        <w:pStyle w:val="ListBullet"/>
      </w:pPr>
      <w:r>
        <w:t>Country, organization and role targeting</w:t>
      </w:r>
    </w:p>
    <w:p>
      <w:pPr>
        <w:pStyle w:val="ListBullet"/>
      </w:pPr>
      <w:r>
        <w:t>Search and suggested answers</w:t>
      </w:r>
    </w:p>
    <w:p>
      <w:pPr>
        <w:pStyle w:val="ListBullet"/>
      </w:pPr>
      <w:r>
        <w:t>Article ownership, approval and review dates</w:t>
      </w:r>
    </w:p>
    <w:p>
      <w:pPr>
        <w:pStyle w:val="ListBullet"/>
      </w:pPr>
      <w:r>
        <w:t>Versioning and expiry</w:t>
      </w:r>
    </w:p>
    <w:p>
      <w:pPr>
        <w:pStyle w:val="ListBullet"/>
      </w:pPr>
      <w:r>
        <w:t>Multilingual content</w:t>
      </w:r>
    </w:p>
    <w:p>
      <w:pPr>
        <w:pStyle w:val="ListBullet"/>
      </w:pPr>
      <w:r>
        <w:t>Guided troubleshooting</w:t>
      </w:r>
    </w:p>
    <w:p>
      <w:pPr>
        <w:pStyle w:val="ListBullet"/>
      </w:pPr>
      <w:r>
        <w:t>Digital HR assistant grounded in approved content</w:t>
      </w:r>
    </w:p>
    <w:p>
      <w:pPr>
        <w:pStyle w:val="ListBullet"/>
      </w:pPr>
      <w:r>
        <w:t>Source citation</w:t>
      </w:r>
    </w:p>
    <w:p>
      <w:pPr>
        <w:pStyle w:val="ListBullet"/>
      </w:pPr>
      <w:r>
        <w:t>Escalation to HR request</w:t>
      </w:r>
    </w:p>
    <w:p>
      <w:pPr>
        <w:pStyle w:val="ListBullet"/>
      </w:pPr>
      <w:r>
        <w:t>Conversation privacy</w:t>
      </w:r>
    </w:p>
    <w:p>
      <w:pPr>
        <w:pStyle w:val="ListBullet"/>
      </w:pPr>
      <w:r>
        <w:t>Helpfulness feedback and usage analytics</w:t>
      </w:r>
    </w:p>
    <w:p>
      <w:pPr>
        <w:pStyle w:val="ListBullet"/>
      </w:pPr>
      <w:r>
        <w:t>Enterprise AI gateway and model-policy integration</w:t>
      </w:r>
    </w:p>
    <w:p>
      <w:pPr>
        <w:pStyle w:val="ListBullet"/>
      </w:pPr>
      <w:r>
        <w:t>Retrieval access trimming based on HRM permissions and data scope</w:t>
      </w:r>
    </w:p>
    <w:p>
      <w:pPr>
        <w:pStyle w:val="ListBullet"/>
      </w:pPr>
      <w:r>
        <w:t>Prompt, response and source audit for sensitive HR assistance</w:t>
      </w:r>
    </w:p>
    <w:p>
      <w:pPr>
        <w:pStyle w:val="Heading2"/>
      </w:pPr>
      <w:r>
        <w:t>HRM-047 — Employee Engagement, Wellbeing and Recognition</w:t>
      </w:r>
    </w:p>
    <w:p>
      <w:pPr>
        <w:spacing w:after="60"/>
      </w:pPr>
      <w:r>
        <w:rPr>
          <w:b/>
          <w:color w:val="17365D"/>
        </w:rPr>
        <w:t xml:space="preserve">Capability tier: </w:t>
      </w:r>
      <w:r>
        <w:t>Advanced</w:t>
      </w:r>
    </w:p>
    <w:p>
      <w:pPr>
        <w:pStyle w:val="ListBullet"/>
      </w:pPr>
      <w:r>
        <w:t>Annual and pulse surveys</w:t>
      </w:r>
    </w:p>
    <w:p>
      <w:pPr>
        <w:pStyle w:val="ListBullet"/>
      </w:pPr>
      <w:r>
        <w:t>Anonymous feedback with privacy thresholds</w:t>
      </w:r>
    </w:p>
    <w:p>
      <w:pPr>
        <w:pStyle w:val="ListBullet"/>
      </w:pPr>
      <w:r>
        <w:t>Engagement scoring</w:t>
      </w:r>
    </w:p>
    <w:p>
      <w:pPr>
        <w:pStyle w:val="ListBullet"/>
      </w:pPr>
      <w:r>
        <w:t>Employee suggestions</w:t>
      </w:r>
    </w:p>
    <w:p>
      <w:pPr>
        <w:pStyle w:val="ListBullet"/>
      </w:pPr>
      <w:r>
        <w:t>Recognition and reward programmes</w:t>
      </w:r>
    </w:p>
    <w:p>
      <w:pPr>
        <w:pStyle w:val="ListBullet"/>
      </w:pPr>
      <w:r>
        <w:t>Wellness initiatives</w:t>
      </w:r>
    </w:p>
    <w:p>
      <w:pPr>
        <w:pStyle w:val="ListBullet"/>
      </w:pPr>
      <w:r>
        <w:t>Employee assistance referrals</w:t>
      </w:r>
    </w:p>
    <w:p>
      <w:pPr>
        <w:pStyle w:val="ListBullet"/>
      </w:pPr>
      <w:r>
        <w:t>Workload and burnout feedback</w:t>
      </w:r>
    </w:p>
    <w:p>
      <w:pPr>
        <w:pStyle w:val="ListBullet"/>
      </w:pPr>
      <w:r>
        <w:t>Diversity and inclusion indicators</w:t>
      </w:r>
    </w:p>
    <w:p>
      <w:pPr>
        <w:pStyle w:val="ListBullet"/>
      </w:pPr>
      <w:r>
        <w:t>Action plans</w:t>
      </w:r>
    </w:p>
    <w:p>
      <w:pPr>
        <w:pStyle w:val="ListBullet"/>
      </w:pPr>
      <w:r>
        <w:t>Exit sentiment</w:t>
      </w:r>
    </w:p>
    <w:p>
      <w:pPr>
        <w:pStyle w:val="ListBullet"/>
      </w:pPr>
      <w:r>
        <w:t>Engagement and wellbeing analytics</w:t>
      </w:r>
    </w:p>
    <w:p>
      <w:pPr>
        <w:pStyle w:val="Heading2"/>
      </w:pPr>
      <w:r>
        <w:t>HRM-048 — HR Announcements and Employee Community</w:t>
      </w:r>
    </w:p>
    <w:p>
      <w:pPr>
        <w:spacing w:after="60"/>
      </w:pPr>
      <w:r>
        <w:rPr>
          <w:b/>
          <w:color w:val="17365D"/>
        </w:rPr>
        <w:t xml:space="preserve">Capability tier: </w:t>
      </w:r>
      <w:r>
        <w:t>Advanced</w:t>
      </w:r>
    </w:p>
    <w:p>
      <w:pPr>
        <w:pStyle w:val="ListBullet"/>
      </w:pPr>
      <w:r>
        <w:t>Company and HR announcements</w:t>
      </w:r>
    </w:p>
    <w:p>
      <w:pPr>
        <w:pStyle w:val="ListBullet"/>
      </w:pPr>
      <w:r>
        <w:t>Policy and emergency notices</w:t>
      </w:r>
    </w:p>
    <w:p>
      <w:pPr>
        <w:pStyle w:val="ListBullet"/>
      </w:pPr>
      <w:r>
        <w:t>Branch and audience targeting</w:t>
      </w:r>
    </w:p>
    <w:p>
      <w:pPr>
        <w:pStyle w:val="ListBullet"/>
      </w:pPr>
      <w:r>
        <w:t>Scheduled publication and expiry</w:t>
      </w:r>
    </w:p>
    <w:p>
      <w:pPr>
        <w:pStyle w:val="ListBullet"/>
      </w:pPr>
      <w:r>
        <w:t>Attachments and acknowledgements</w:t>
      </w:r>
    </w:p>
    <w:p>
      <w:pPr>
        <w:pStyle w:val="ListBullet"/>
      </w:pPr>
      <w:r>
        <w:t>Read receipts</w:t>
      </w:r>
    </w:p>
    <w:p>
      <w:pPr>
        <w:pStyle w:val="ListBullet"/>
      </w:pPr>
      <w:r>
        <w:t>Comments, reactions and moderation</w:t>
      </w:r>
    </w:p>
    <w:p>
      <w:pPr>
        <w:pStyle w:val="ListBullet"/>
      </w:pPr>
      <w:r>
        <w:t>Events, birthdays and anniversaries</w:t>
      </w:r>
    </w:p>
    <w:p>
      <w:pPr>
        <w:pStyle w:val="ListBullet"/>
      </w:pPr>
      <w:r>
        <w:t>New-starter and recognition posts</w:t>
      </w:r>
    </w:p>
    <w:p>
      <w:pPr>
        <w:pStyle w:val="ListBullet"/>
      </w:pPr>
      <w:r>
        <w:t>Mobile delivery and communication analytics</w:t>
      </w:r>
    </w:p>
    <w:p>
      <w:r>
        <w:br w:type="page"/>
      </w:r>
    </w:p>
    <w:p>
      <w:pPr>
        <w:pStyle w:val="Heading1"/>
      </w:pPr>
      <w:r>
        <w:t>H. Employee Relations, Safety, Ethics and Compliance</w:t>
      </w:r>
    </w:p>
    <w:p>
      <w:r>
        <w:t>Controlled capabilities for workplace relations, safety, ethics, protected reporting and emergency accountability.</w:t>
      </w:r>
    </w:p>
    <w:p>
      <w:pPr>
        <w:pStyle w:val="Heading2"/>
      </w:pPr>
      <w:r>
        <w:t>HRM-049 — Employee Relations and Case Management</w:t>
      </w:r>
    </w:p>
    <w:p>
      <w:pPr>
        <w:spacing w:after="60"/>
      </w:pPr>
      <w:r>
        <w:rPr>
          <w:b/>
          <w:color w:val="17365D"/>
        </w:rPr>
        <w:t xml:space="preserve">Capability tier: </w:t>
      </w:r>
      <w:r>
        <w:t>Advanced</w:t>
      </w:r>
    </w:p>
    <w:p>
      <w:pPr>
        <w:pStyle w:val="ListBullet"/>
      </w:pPr>
      <w:r>
        <w:t>Employee queries, complaints and grievances</w:t>
      </w:r>
    </w:p>
    <w:p>
      <w:pPr>
        <w:pStyle w:val="ListBullet"/>
      </w:pPr>
      <w:r>
        <w:t>Misconduct allegations and investigations</w:t>
      </w:r>
    </w:p>
    <w:p>
      <w:pPr>
        <w:pStyle w:val="ListBullet"/>
      </w:pPr>
      <w:r>
        <w:t>Witnesses and evidence</w:t>
      </w:r>
    </w:p>
    <w:p>
      <w:pPr>
        <w:pStyle w:val="ListBullet"/>
      </w:pPr>
      <w:r>
        <w:t>Hearing scheduling and panels</w:t>
      </w:r>
    </w:p>
    <w:p>
      <w:pPr>
        <w:pStyle w:val="ListBullet"/>
      </w:pPr>
      <w:r>
        <w:t>Charges, responses and outcomes</w:t>
      </w:r>
    </w:p>
    <w:p>
      <w:pPr>
        <w:pStyle w:val="ListBullet"/>
      </w:pPr>
      <w:r>
        <w:t>Warnings and corrective actions</w:t>
      </w:r>
    </w:p>
    <w:p>
      <w:pPr>
        <w:pStyle w:val="ListBullet"/>
      </w:pPr>
      <w:r>
        <w:t>Appeals and mediation</w:t>
      </w:r>
    </w:p>
    <w:p>
      <w:pPr>
        <w:pStyle w:val="ListBullet"/>
      </w:pPr>
      <w:r>
        <w:t>Harassment and discrimination cases</w:t>
      </w:r>
    </w:p>
    <w:p>
      <w:pPr>
        <w:pStyle w:val="ListBullet"/>
      </w:pPr>
      <w:r>
        <w:t>Labour disputes</w:t>
      </w:r>
    </w:p>
    <w:p>
      <w:pPr>
        <w:pStyle w:val="ListBullet"/>
      </w:pPr>
      <w:r>
        <w:t>Case deadlines</w:t>
      </w:r>
    </w:p>
    <w:p>
      <w:pPr>
        <w:pStyle w:val="ListBullet"/>
      </w:pPr>
      <w:r>
        <w:t>Case confidentiality and conflict checks</w:t>
      </w:r>
    </w:p>
    <w:p>
      <w:pPr>
        <w:pStyle w:val="ListBullet"/>
      </w:pPr>
      <w:r>
        <w:t>Legal privilege and restricted partitions</w:t>
      </w:r>
    </w:p>
    <w:p>
      <w:pPr>
        <w:pStyle w:val="ListBullet"/>
      </w:pPr>
      <w:r>
        <w:t>Outcome consistency and case analytics</w:t>
      </w:r>
    </w:p>
    <w:p>
      <w:pPr>
        <w:pStyle w:val="Heading2"/>
      </w:pPr>
      <w:r>
        <w:t>HRM-050 — Employee Discipline and Warning Register</w:t>
      </w:r>
    </w:p>
    <w:p>
      <w:pPr>
        <w:spacing w:after="60"/>
      </w:pPr>
      <w:r>
        <w:rPr>
          <w:b/>
          <w:color w:val="17365D"/>
        </w:rPr>
        <w:t xml:space="preserve">Capability tier: </w:t>
      </w:r>
      <w:r>
        <w:t>Essentials</w:t>
      </w:r>
    </w:p>
    <w:p>
      <w:pPr>
        <w:pStyle w:val="ListBullet"/>
      </w:pPr>
      <w:r>
        <w:t>Verbal caution</w:t>
      </w:r>
    </w:p>
    <w:p>
      <w:pPr>
        <w:pStyle w:val="ListBullet"/>
      </w:pPr>
      <w:r>
        <w:t>Written and final warning</w:t>
      </w:r>
    </w:p>
    <w:p>
      <w:pPr>
        <w:pStyle w:val="ListBullet"/>
      </w:pPr>
      <w:r>
        <w:t>Suspension</w:t>
      </w:r>
    </w:p>
    <w:p>
      <w:pPr>
        <w:pStyle w:val="ListBullet"/>
      </w:pPr>
      <w:r>
        <w:t>Performance and misconduct warnings</w:t>
      </w:r>
    </w:p>
    <w:p>
      <w:pPr>
        <w:pStyle w:val="ListBullet"/>
      </w:pPr>
      <w:r>
        <w:t>Issue and expiry dates</w:t>
      </w:r>
    </w:p>
    <w:p>
      <w:pPr>
        <w:pStyle w:val="ListBullet"/>
      </w:pPr>
      <w:r>
        <w:t>Allegation and employee response</w:t>
      </w:r>
    </w:p>
    <w:p>
      <w:pPr>
        <w:pStyle w:val="ListBullet"/>
      </w:pPr>
      <w:r>
        <w:t>Hearing and outcome</w:t>
      </w:r>
    </w:p>
    <w:p>
      <w:pPr>
        <w:pStyle w:val="ListBullet"/>
      </w:pPr>
      <w:r>
        <w:t>Corrective action</w:t>
      </w:r>
    </w:p>
    <w:p>
      <w:pPr>
        <w:pStyle w:val="ListBullet"/>
      </w:pPr>
      <w:r>
        <w:t>Appeal</w:t>
      </w:r>
    </w:p>
    <w:p>
      <w:pPr>
        <w:pStyle w:val="ListBullet"/>
      </w:pPr>
      <w:r>
        <w:t>Active-warning checks</w:t>
      </w:r>
    </w:p>
    <w:p>
      <w:pPr>
        <w:pStyle w:val="ListBullet"/>
      </w:pPr>
      <w:r>
        <w:t>Repeat-offence rules</w:t>
      </w:r>
    </w:p>
    <w:p>
      <w:pPr>
        <w:pStyle w:val="ListBullet"/>
      </w:pPr>
      <w:r>
        <w:t>Confidential records and reporting</w:t>
      </w:r>
    </w:p>
    <w:p>
      <w:pPr>
        <w:pStyle w:val="Heading2"/>
      </w:pPr>
      <w:r>
        <w:t>HRM-051 — Labour Relations, Unions and Collective Agreements</w:t>
      </w:r>
    </w:p>
    <w:p>
      <w:pPr>
        <w:spacing w:after="60"/>
      </w:pPr>
      <w:r>
        <w:rPr>
          <w:b/>
          <w:color w:val="17365D"/>
        </w:rPr>
        <w:t xml:space="preserve">Capability tier: </w:t>
      </w:r>
      <w:r>
        <w:t>Enterprise</w:t>
      </w:r>
    </w:p>
    <w:p>
      <w:pPr>
        <w:pStyle w:val="ListBullet"/>
      </w:pPr>
      <w:r>
        <w:t>Trade unions and membership</w:t>
      </w:r>
    </w:p>
    <w:p>
      <w:pPr>
        <w:pStyle w:val="ListBullet"/>
      </w:pPr>
      <w:r>
        <w:t>Bargaining units</w:t>
      </w:r>
    </w:p>
    <w:p>
      <w:pPr>
        <w:pStyle w:val="ListBullet"/>
      </w:pPr>
      <w:r>
        <w:t>Collective agreements and versions</w:t>
      </w:r>
    </w:p>
    <w:p>
      <w:pPr>
        <w:pStyle w:val="ListBullet"/>
      </w:pPr>
      <w:r>
        <w:t>Covered worker groups</w:t>
      </w:r>
    </w:p>
    <w:p>
      <w:pPr>
        <w:pStyle w:val="ListBullet"/>
      </w:pPr>
      <w:r>
        <w:t>Union representatives and shop stewards</w:t>
      </w:r>
    </w:p>
    <w:p>
      <w:pPr>
        <w:pStyle w:val="ListBullet"/>
      </w:pPr>
      <w:r>
        <w:t>Union dues</w:t>
      </w:r>
    </w:p>
    <w:p>
      <w:pPr>
        <w:pStyle w:val="ListBullet"/>
      </w:pPr>
      <w:r>
        <w:t>Negotiation and consultation records</w:t>
      </w:r>
    </w:p>
    <w:p>
      <w:pPr>
        <w:pStyle w:val="ListBullet"/>
      </w:pPr>
      <w:r>
        <w:t>Collective grievances and disputes</w:t>
      </w:r>
    </w:p>
    <w:p>
      <w:pPr>
        <w:pStyle w:val="ListBullet"/>
      </w:pPr>
      <w:r>
        <w:t>Industrial action</w:t>
      </w:r>
    </w:p>
    <w:p>
      <w:pPr>
        <w:pStyle w:val="ListBullet"/>
      </w:pPr>
      <w:r>
        <w:t>Recognition agreements</w:t>
      </w:r>
    </w:p>
    <w:p>
      <w:pPr>
        <w:pStyle w:val="ListBullet"/>
      </w:pPr>
      <w:r>
        <w:t>Seniority rules</w:t>
      </w:r>
    </w:p>
    <w:p>
      <w:pPr>
        <w:pStyle w:val="ListBullet"/>
      </w:pPr>
      <w:r>
        <w:t>Agreement-based pay, leave and disciplinary rules</w:t>
      </w:r>
    </w:p>
    <w:p>
      <w:pPr>
        <w:pStyle w:val="ListBullet"/>
      </w:pPr>
      <w:r>
        <w:t>Agreement expiry and labour-relations reporting</w:t>
      </w:r>
    </w:p>
    <w:p>
      <w:pPr>
        <w:pStyle w:val="Heading2"/>
      </w:pPr>
      <w:r>
        <w:t>HRM-052 — Health, Safety and Occupational Health</w:t>
      </w:r>
    </w:p>
    <w:p>
      <w:pPr>
        <w:spacing w:after="60"/>
      </w:pPr>
      <w:r>
        <w:rPr>
          <w:b/>
          <w:color w:val="17365D"/>
        </w:rPr>
        <w:t xml:space="preserve">Capability tier: </w:t>
      </w:r>
      <w:r>
        <w:t>Advanced</w:t>
      </w:r>
    </w:p>
    <w:p>
      <w:pPr>
        <w:pStyle w:val="ListBullet"/>
      </w:pPr>
      <w:r>
        <w:t>Hazards, incidents, injuries and near misses</w:t>
      </w:r>
    </w:p>
    <w:p>
      <w:pPr>
        <w:pStyle w:val="ListBullet"/>
      </w:pPr>
      <w:r>
        <w:t>Safety inspections</w:t>
      </w:r>
    </w:p>
    <w:p>
      <w:pPr>
        <w:pStyle w:val="ListBullet"/>
      </w:pPr>
      <w:r>
        <w:t>Occupational-health assessments</w:t>
      </w:r>
    </w:p>
    <w:p>
      <w:pPr>
        <w:pStyle w:val="ListBullet"/>
      </w:pPr>
      <w:r>
        <w:t>Restricted medical information</w:t>
      </w:r>
    </w:p>
    <w:p>
      <w:pPr>
        <w:pStyle w:val="ListBullet"/>
      </w:pPr>
      <w:r>
        <w:t>Fitness to work</w:t>
      </w:r>
    </w:p>
    <w:p>
      <w:pPr>
        <w:pStyle w:val="ListBullet"/>
      </w:pPr>
      <w:r>
        <w:t>Reasonable accommodations</w:t>
      </w:r>
    </w:p>
    <w:p>
      <w:pPr>
        <w:pStyle w:val="ListBullet"/>
      </w:pPr>
      <w:r>
        <w:t>Return-to-work plans</w:t>
      </w:r>
    </w:p>
    <w:p>
      <w:pPr>
        <w:pStyle w:val="ListBullet"/>
      </w:pPr>
      <w:r>
        <w:t>Protective equipment</w:t>
      </w:r>
    </w:p>
    <w:p>
      <w:pPr>
        <w:pStyle w:val="ListBullet"/>
      </w:pPr>
      <w:r>
        <w:t>Safety training</w:t>
      </w:r>
    </w:p>
    <w:p>
      <w:pPr>
        <w:pStyle w:val="ListBullet"/>
      </w:pPr>
      <w:r>
        <w:t>Incident investigation</w:t>
      </w:r>
    </w:p>
    <w:p>
      <w:pPr>
        <w:pStyle w:val="ListBullet"/>
      </w:pPr>
      <w:r>
        <w:t>Corrective action</w:t>
      </w:r>
    </w:p>
    <w:p>
      <w:pPr>
        <w:pStyle w:val="ListBullet"/>
      </w:pPr>
      <w:r>
        <w:t>Compensation-claim references</w:t>
      </w:r>
    </w:p>
    <w:p>
      <w:pPr>
        <w:pStyle w:val="ListBullet"/>
      </w:pPr>
      <w:r>
        <w:t>Health and safety compliance reports</w:t>
      </w:r>
    </w:p>
    <w:p>
      <w:pPr>
        <w:pStyle w:val="Heading2"/>
      </w:pPr>
      <w:r>
        <w:t>HRM-053 — Whistleblowing and Protected Disclosures</w:t>
      </w:r>
    </w:p>
    <w:p>
      <w:pPr>
        <w:spacing w:after="60"/>
      </w:pPr>
      <w:r>
        <w:t>Capability tier: Essentials</w:t>
      </w:r>
    </w:p>
    <w:p>
      <w:pPr>
        <w:pStyle w:val="ListBullet"/>
      </w:pPr>
      <w:r>
        <w:t>Anonymous and identified reporting</w:t>
      </w:r>
    </w:p>
    <w:p>
      <w:pPr>
        <w:pStyle w:val="ListBullet"/>
      </w:pPr>
      <w:r>
        <w:t>Independent protected intake</w:t>
      </w:r>
    </w:p>
    <w:p>
      <w:pPr>
        <w:pStyle w:val="ListBullet"/>
      </w:pPr>
      <w:r>
        <w:t>Conflict-safe routing</w:t>
      </w:r>
    </w:p>
    <w:p>
      <w:pPr>
        <w:pStyle w:val="ListBullet"/>
      </w:pPr>
      <w:r>
        <w:t>Restricted investigators</w:t>
      </w:r>
    </w:p>
    <w:p>
      <w:pPr>
        <w:pStyle w:val="ListBullet"/>
      </w:pPr>
      <w:r>
        <w:t>Evidence and secure communication</w:t>
      </w:r>
    </w:p>
    <w:p>
      <w:pPr>
        <w:pStyle w:val="ListBullet"/>
      </w:pPr>
      <w:r>
        <w:t>Retaliation monitoring</w:t>
      </w:r>
    </w:p>
    <w:p>
      <w:pPr>
        <w:pStyle w:val="ListBullet"/>
      </w:pPr>
      <w:r>
        <w:t>Escalation to legal, board or authorized leadership</w:t>
      </w:r>
    </w:p>
    <w:p>
      <w:pPr>
        <w:pStyle w:val="ListBullet"/>
      </w:pPr>
      <w:r>
        <w:t>Case status and deadlines</w:t>
      </w:r>
    </w:p>
    <w:p>
      <w:pPr>
        <w:pStyle w:val="ListBullet"/>
      </w:pPr>
      <w:r>
        <w:t>Outcome and remediation</w:t>
      </w:r>
    </w:p>
    <w:p>
      <w:pPr>
        <w:pStyle w:val="ListBullet"/>
      </w:pPr>
      <w:r>
        <w:t>Anonymized reporting</w:t>
      </w:r>
    </w:p>
    <w:p>
      <w:pPr>
        <w:pStyle w:val="ListBullet"/>
      </w:pPr>
      <w:r>
        <w:t>Separation from ordinary HR administrator access</w:t>
      </w:r>
    </w:p>
    <w:p>
      <w:pPr>
        <w:pStyle w:val="ListBullet"/>
      </w:pPr>
      <w:r>
        <w:t>Organization-specific protected-disclosure portal and reporting link</w:t>
      </w:r>
    </w:p>
    <w:p>
      <w:pPr>
        <w:pStyle w:val="ListBullet"/>
      </w:pPr>
      <w:r>
        <w:t>Configurable public, private, workforce-only and organization-code access modes</w:t>
      </w:r>
    </w:p>
    <w:p>
      <w:pPr>
        <w:pStyle w:val="ListBullet"/>
      </w:pPr>
      <w:r>
        <w:t>Reporting without authentication with optional identified submission</w:t>
      </w:r>
    </w:p>
    <w:p>
      <w:pPr>
        <w:pStyle w:val="ListBullet"/>
      </w:pPr>
      <w:r>
        <w:t>Eligibility for employees, contractors, former workers and other permitted populations</w:t>
      </w:r>
    </w:p>
    <w:p>
      <w:pPr>
        <w:pStyle w:val="ListBullet"/>
      </w:pPr>
      <w:r>
        <w:t>Accessible, mobile-friendly and multilingual protected intake</w:t>
      </w:r>
    </w:p>
    <w:p>
      <w:pPr>
        <w:pStyle w:val="ListBullet"/>
      </w:pPr>
      <w:r>
        <w:t>Configurable allegation categories, guided questions and free-text reporting</w:t>
      </w:r>
    </w:p>
    <w:p>
      <w:pPr>
        <w:pStyle w:val="ListBullet"/>
      </w:pPr>
      <w:r>
        <w:t>Secure evidence and attachment submission</w:t>
      </w:r>
    </w:p>
    <w:p>
      <w:pPr>
        <w:pStyle w:val="ListBullet"/>
      </w:pPr>
      <w:r>
        <w:t>Minimization or removal of unnecessary attachment and submission metadata</w:t>
      </w:r>
    </w:p>
    <w:p>
      <w:pPr>
        <w:pStyle w:val="ListBullet"/>
      </w:pPr>
      <w:r>
        <w:t>Anonymous case reference and secure access code</w:t>
      </w:r>
    </w:p>
    <w:p>
      <w:pPr>
        <w:pStyle w:val="ListBullet"/>
      </w:pPr>
      <w:r>
        <w:t>Protected two-way communication without revealing reporter identity</w:t>
      </w:r>
    </w:p>
    <w:p>
      <w:pPr>
        <w:pStyle w:val="ListBullet"/>
      </w:pPr>
      <w:r>
        <w:t>Anonymous status tracking and additional-evidence submission</w:t>
      </w:r>
    </w:p>
    <w:p>
      <w:pPr>
        <w:pStyle w:val="ListBullet"/>
      </w:pPr>
      <w:r>
        <w:t>Clear privacy notice and limitations-of-anonymity disclosure</w:t>
      </w:r>
    </w:p>
    <w:p>
      <w:pPr>
        <w:pStyle w:val="ListBullet"/>
      </w:pPr>
      <w:r>
        <w:t>Emergency, immediate-danger and out-of-scope reporting guidance</w:t>
      </w:r>
    </w:p>
    <w:p>
      <w:pPr>
        <w:pStyle w:val="ListBullet"/>
      </w:pPr>
      <w:r>
        <w:t>Conflict-of-interest declaration and conflict-safe case assignment</w:t>
      </w:r>
    </w:p>
    <w:p>
      <w:pPr>
        <w:pStyle w:val="ListBullet"/>
      </w:pPr>
      <w:r>
        <w:t>Independent ethics, legal, audit, board or authorized external routing</w:t>
      </w:r>
    </w:p>
    <w:p>
      <w:pPr>
        <w:pStyle w:val="ListBullet"/>
      </w:pPr>
      <w:r>
        <w:t>Restricted investigator teams with least-privilege evidence access</w:t>
      </w:r>
    </w:p>
    <w:p>
      <w:pPr>
        <w:pStyle w:val="ListBullet"/>
      </w:pPr>
      <w:r>
        <w:t>Reporter, witness, subject and investigator confidentiality controls</w:t>
      </w:r>
    </w:p>
    <w:p>
      <w:pPr>
        <w:pStyle w:val="ListBullet"/>
      </w:pPr>
      <w:r>
        <w:t>Retaliation concern reporting, safeguards and follow-up monitoring</w:t>
      </w:r>
    </w:p>
    <w:p>
      <w:pPr>
        <w:pStyle w:val="ListBullet"/>
      </w:pPr>
      <w:r>
        <w:t>Investigation activity, evidence-access and disclosure audit</w:t>
      </w:r>
    </w:p>
    <w:p>
      <w:pPr>
        <w:pStyle w:val="ListBullet"/>
      </w:pPr>
      <w:r>
        <w:t>Legal hold, configurable retention, preservation and approved disposal</w:t>
      </w:r>
    </w:p>
    <w:p>
      <w:pPr>
        <w:pStyle w:val="ListBullet"/>
      </w:pPr>
      <w:r>
        <w:t>Duplicate, related-case and systemic-pattern detection with protected identity handling</w:t>
      </w:r>
    </w:p>
    <w:p>
      <w:pPr>
        <w:pStyle w:val="ListBullet"/>
      </w:pPr>
      <w:r>
        <w:t>Integration with independent hotline and specialist protected-disclosure providers</w:t>
      </w:r>
    </w:p>
    <w:p>
      <w:pPr>
        <w:pStyle w:val="ListBullet"/>
      </w:pPr>
      <w:r>
        <w:t>Aggregated compliance reporting with small-group and re-identification safeguards</w:t>
      </w:r>
    </w:p>
    <w:p>
      <w:pPr>
        <w:pStyle w:val="ListBullet"/>
      </w:pPr>
      <w:r>
        <w:t>Abuse prevention using privacy-preserving telemetry and proportionate controls</w:t>
      </w:r>
    </w:p>
    <w:p>
      <w:pPr>
        <w:pStyle w:val="ListBullet"/>
      </w:pPr>
      <w:r>
        <w:t>Jurisdiction- and policy-specific disclosure channels, deadlines and escalation configuration</w:t>
      </w:r>
    </w:p>
    <w:p>
      <w:pPr>
        <w:pStyle w:val="ListBullet"/>
      </w:pPr>
      <w:r>
        <w:t>Service availability, secure recovery and continuity for protected reporting</w:t>
      </w:r>
    </w:p>
    <w:p>
      <w:pPr>
        <w:pStyle w:val="Heading2"/>
      </w:pPr>
      <w:r>
        <w:t>HRM-054 — Ethics, Conflicts and Employee Declarations</w:t>
      </w:r>
    </w:p>
    <w:p>
      <w:pPr>
        <w:spacing w:after="60"/>
      </w:pPr>
      <w:r>
        <w:rPr>
          <w:b/>
          <w:color w:val="17365D"/>
        </w:rPr>
        <w:t xml:space="preserve">Capability tier: </w:t>
      </w:r>
      <w:r>
        <w:t>Advanced</w:t>
      </w:r>
    </w:p>
    <w:p>
      <w:pPr>
        <w:pStyle w:val="ListBullet"/>
      </w:pPr>
      <w:r>
        <w:t>Conflict-of-interest declaration</w:t>
      </w:r>
    </w:p>
    <w:p>
      <w:pPr>
        <w:pStyle w:val="ListBullet"/>
      </w:pPr>
      <w:r>
        <w:t>Outside employment</w:t>
      </w:r>
    </w:p>
    <w:p>
      <w:pPr>
        <w:pStyle w:val="ListBullet"/>
      </w:pPr>
      <w:r>
        <w:t>Gift and hospitality declaration</w:t>
      </w:r>
    </w:p>
    <w:p>
      <w:pPr>
        <w:pStyle w:val="ListBullet"/>
      </w:pPr>
      <w:r>
        <w:t>Related-party disclosure</w:t>
      </w:r>
    </w:p>
    <w:p>
      <w:pPr>
        <w:pStyle w:val="ListBullet"/>
      </w:pPr>
      <w:r>
        <w:t>Confidentiality and code-of-conduct acknowledgement</w:t>
      </w:r>
    </w:p>
    <w:p>
      <w:pPr>
        <w:pStyle w:val="ListBullet"/>
      </w:pPr>
      <w:r>
        <w:t>Periodic declaration campaigns</w:t>
      </w:r>
    </w:p>
    <w:p>
      <w:pPr>
        <w:pStyle w:val="ListBullet"/>
      </w:pPr>
      <w:r>
        <w:t>Review and approval</w:t>
      </w:r>
    </w:p>
    <w:p>
      <w:pPr>
        <w:pStyle w:val="ListBullet"/>
      </w:pPr>
      <w:r>
        <w:t>Conflict mitigation</w:t>
      </w:r>
    </w:p>
    <w:p>
      <w:pPr>
        <w:pStyle w:val="ListBullet"/>
      </w:pPr>
      <w:r>
        <w:t>Expiry and renewal</w:t>
      </w:r>
    </w:p>
    <w:p>
      <w:pPr>
        <w:pStyle w:val="ListBullet"/>
      </w:pPr>
      <w:r>
        <w:t>Breach referral</w:t>
      </w:r>
    </w:p>
    <w:p>
      <w:pPr>
        <w:pStyle w:val="ListBullet"/>
      </w:pPr>
      <w:r>
        <w:t>Declaration history and compliance reporting</w:t>
      </w:r>
    </w:p>
    <w:p>
      <w:pPr>
        <w:pStyle w:val="Heading2"/>
      </w:pPr>
      <w:r>
        <w:t>HRM-055 — Emergency Workforce Accountability</w:t>
      </w:r>
    </w:p>
    <w:p>
      <w:pPr>
        <w:spacing w:after="60"/>
      </w:pPr>
      <w:r>
        <w:rPr>
          <w:b/>
          <w:color w:val="17365D"/>
        </w:rPr>
        <w:t xml:space="preserve">Capability tier: </w:t>
      </w:r>
      <w:r>
        <w:t>Enterprise</w:t>
      </w:r>
    </w:p>
    <w:p>
      <w:pPr>
        <w:pStyle w:val="ListBullet"/>
      </w:pPr>
      <w:r>
        <w:t>Emergency contact tree</w:t>
      </w:r>
    </w:p>
    <w:p>
      <w:pPr>
        <w:pStyle w:val="ListBullet"/>
      </w:pPr>
      <w:r>
        <w:t>Mass workforce notification</w:t>
      </w:r>
    </w:p>
    <w:p>
      <w:pPr>
        <w:pStyle w:val="ListBullet"/>
      </w:pPr>
      <w:r>
        <w:t>Safe/not-safe check-in</w:t>
      </w:r>
    </w:p>
    <w:p>
      <w:pPr>
        <w:pStyle w:val="ListBullet"/>
      </w:pPr>
      <w:r>
        <w:t>Missing-response tracking</w:t>
      </w:r>
    </w:p>
    <w:p>
      <w:pPr>
        <w:pStyle w:val="ListBullet"/>
      </w:pPr>
      <w:r>
        <w:t>Branch, location and shift accountability</w:t>
      </w:r>
    </w:p>
    <w:p>
      <w:pPr>
        <w:pStyle w:val="ListBullet"/>
      </w:pPr>
      <w:r>
        <w:t>Evacuation and muster lists</w:t>
      </w:r>
    </w:p>
    <w:p>
      <w:pPr>
        <w:pStyle w:val="ListBullet"/>
      </w:pPr>
      <w:r>
        <w:t>Critical and essential workers</w:t>
      </w:r>
    </w:p>
    <w:p>
      <w:pPr>
        <w:pStyle w:val="ListBullet"/>
      </w:pPr>
      <w:r>
        <w:t>Emergency replacement and continuity staffing</w:t>
      </w:r>
    </w:p>
    <w:p>
      <w:pPr>
        <w:pStyle w:val="ListBullet"/>
      </w:pPr>
      <w:r>
        <w:t>Next-of-kin workflow</w:t>
      </w:r>
    </w:p>
    <w:p>
      <w:pPr>
        <w:pStyle w:val="ListBullet"/>
      </w:pPr>
      <w:r>
        <w:t>Incident linkage</w:t>
      </w:r>
    </w:p>
    <w:p>
      <w:pPr>
        <w:pStyle w:val="ListBullet"/>
      </w:pPr>
      <w:r>
        <w:t>Emergency communication history and post-incident reporting</w:t>
      </w:r>
    </w:p>
    <w:p>
      <w:r>
        <w:br w:type="page"/>
      </w:r>
    </w:p>
    <w:p>
      <w:pPr>
        <w:pStyle w:val="Heading1"/>
      </w:pPr>
      <w:r>
        <w:t>I. Assets, Separation and Post-Employment</w:t>
      </w:r>
    </w:p>
    <w:p>
      <w:r>
        <w:t>Capabilities governing assets, access, separation, financial clearance, historical records, alumni and rehire.</w:t>
      </w:r>
    </w:p>
    <w:p>
      <w:pPr>
        <w:pStyle w:val="Heading2"/>
      </w:pPr>
      <w:r>
        <w:t>HRM-056 — Workforce Assets and Access Lifecycle</w:t>
      </w:r>
    </w:p>
    <w:p>
      <w:pPr>
        <w:spacing w:after="60"/>
      </w:pPr>
      <w:r>
        <w:rPr>
          <w:b/>
          <w:color w:val="17365D"/>
        </w:rPr>
        <w:t xml:space="preserve">Capability tier: </w:t>
      </w:r>
      <w:r>
        <w:t>Essentials</w:t>
      </w:r>
    </w:p>
    <w:p>
      <w:pPr>
        <w:pStyle w:val="ListBullet"/>
      </w:pPr>
      <w:r>
        <w:t>Equipment, access cards, uniforms, vehicles and software licences</w:t>
      </w:r>
    </w:p>
    <w:p>
      <w:pPr>
        <w:pStyle w:val="ListBullet"/>
      </w:pPr>
      <w:r>
        <w:t>Request, assignment and custody acknowledgement</w:t>
      </w:r>
    </w:p>
    <w:p>
      <w:pPr>
        <w:pStyle w:val="ListBullet"/>
      </w:pPr>
      <w:r>
        <w:t>Serial number and condition</w:t>
      </w:r>
    </w:p>
    <w:p>
      <w:pPr>
        <w:pStyle w:val="ListBullet"/>
      </w:pPr>
      <w:r>
        <w:t>Transfer between workers</w:t>
      </w:r>
    </w:p>
    <w:p>
      <w:pPr>
        <w:pStyle w:val="ListBullet"/>
      </w:pPr>
      <w:r>
        <w:t>Start-date provisioning</w:t>
      </w:r>
    </w:p>
    <w:p>
      <w:pPr>
        <w:pStyle w:val="ListBullet"/>
      </w:pPr>
      <w:r>
        <w:t>Role- and branch-change updates</w:t>
      </w:r>
    </w:p>
    <w:p>
      <w:pPr>
        <w:pStyle w:val="ListBullet"/>
      </w:pPr>
      <w:r>
        <w:t>Leave-related suspension</w:t>
      </w:r>
    </w:p>
    <w:p>
      <w:pPr>
        <w:pStyle w:val="ListBullet"/>
      </w:pPr>
      <w:r>
        <w:t>Termination access revocation</w:t>
      </w:r>
    </w:p>
    <w:p>
      <w:pPr>
        <w:pStyle w:val="ListBullet"/>
      </w:pPr>
      <w:r>
        <w:t>Return, loss and damage</w:t>
      </w:r>
    </w:p>
    <w:p>
      <w:pPr>
        <w:pStyle w:val="ListBullet"/>
      </w:pPr>
      <w:r>
        <w:t>Recovery where lawful</w:t>
      </w:r>
    </w:p>
    <w:p>
      <w:pPr>
        <w:pStyle w:val="ListBullet"/>
      </w:pPr>
      <w:r>
        <w:t>Clearance and reconciliation</w:t>
      </w:r>
    </w:p>
    <w:p>
      <w:pPr>
        <w:pStyle w:val="ListBullet"/>
      </w:pPr>
      <w:r>
        <w:t>Integration with Asset and Admin modules</w:t>
      </w:r>
    </w:p>
    <w:p>
      <w:pPr>
        <w:pStyle w:val="Heading2"/>
      </w:pPr>
      <w:r>
        <w:t>HRM-057 — Separation, Offboarding and Full-and-Final Settlement</w:t>
      </w:r>
    </w:p>
    <w:p>
      <w:pPr>
        <w:spacing w:after="60"/>
      </w:pPr>
      <w:r>
        <w:rPr>
          <w:b/>
          <w:color w:val="17365D"/>
        </w:rPr>
        <w:t xml:space="preserve">Capability tier: </w:t>
      </w:r>
      <w:r>
        <w:t>Essentials</w:t>
      </w:r>
    </w:p>
    <w:p>
      <w:pPr>
        <w:pStyle w:val="ListBullet"/>
      </w:pPr>
      <w:r>
        <w:t>Employee resignation and withdrawal</w:t>
      </w:r>
    </w:p>
    <w:p>
      <w:pPr>
        <w:pStyle w:val="ListBullet"/>
      </w:pPr>
      <w:r>
        <w:t>Retirement</w:t>
      </w:r>
    </w:p>
    <w:p>
      <w:pPr>
        <w:pStyle w:val="ListBullet"/>
      </w:pPr>
      <w:r>
        <w:t>Contract non-renewal</w:t>
      </w:r>
    </w:p>
    <w:p>
      <w:pPr>
        <w:pStyle w:val="ListBullet"/>
      </w:pPr>
      <w:r>
        <w:t>Employer termination and dismissal</w:t>
      </w:r>
    </w:p>
    <w:p>
      <w:pPr>
        <w:pStyle w:val="ListBullet"/>
      </w:pPr>
      <w:r>
        <w:t>Failed probation</w:t>
      </w:r>
    </w:p>
    <w:p>
      <w:pPr>
        <w:pStyle w:val="ListBullet"/>
      </w:pPr>
      <w:r>
        <w:t>Redundancy and retrenchment</w:t>
      </w:r>
    </w:p>
    <w:p>
      <w:pPr>
        <w:pStyle w:val="ListBullet"/>
      </w:pPr>
      <w:r>
        <w:t>Medical incapacity</w:t>
      </w:r>
    </w:p>
    <w:p>
      <w:pPr>
        <w:pStyle w:val="ListBullet"/>
      </w:pPr>
      <w:r>
        <w:t>Mutual separation</w:t>
      </w:r>
    </w:p>
    <w:p>
      <w:pPr>
        <w:pStyle w:val="ListBullet"/>
      </w:pPr>
      <w:r>
        <w:t>Death in service</w:t>
      </w:r>
    </w:p>
    <w:p>
      <w:pPr>
        <w:pStyle w:val="ListBullet"/>
      </w:pPr>
      <w:r>
        <w:t>Notice and last-working-date calculation</w:t>
      </w:r>
    </w:p>
    <w:p>
      <w:pPr>
        <w:pStyle w:val="ListBullet"/>
      </w:pPr>
      <w:r>
        <w:t>Handover and knowledge transfer</w:t>
      </w:r>
    </w:p>
    <w:p>
      <w:pPr>
        <w:pStyle w:val="ListBullet"/>
      </w:pPr>
      <w:r>
        <w:t>Exit interview</w:t>
      </w:r>
    </w:p>
    <w:p>
      <w:pPr>
        <w:pStyle w:val="ListBullet"/>
      </w:pPr>
      <w:r>
        <w:t>Asset and access clearance</w:t>
      </w:r>
    </w:p>
    <w:p>
      <w:pPr>
        <w:pStyle w:val="ListBullet"/>
      </w:pPr>
      <w:r>
        <w:t>Payables, receivables and outstanding advances</w:t>
      </w:r>
    </w:p>
    <w:p>
      <w:pPr>
        <w:pStyle w:val="ListBullet"/>
      </w:pPr>
      <w:r>
        <w:t>Leave and loan settlement</w:t>
      </w:r>
    </w:p>
    <w:p>
      <w:pPr>
        <w:pStyle w:val="ListBullet"/>
      </w:pPr>
      <w:r>
        <w:t>Final pay and statutory treatment</w:t>
      </w:r>
    </w:p>
    <w:p>
      <w:pPr>
        <w:pStyle w:val="ListBullet"/>
      </w:pPr>
      <w:r>
        <w:t>Benefits closure</w:t>
      </w:r>
    </w:p>
    <w:p>
      <w:pPr>
        <w:pStyle w:val="ListBullet"/>
      </w:pPr>
      <w:r>
        <w:t>Service letter and separation documents</w:t>
      </w:r>
    </w:p>
    <w:p>
      <w:pPr>
        <w:pStyle w:val="ListBullet"/>
      </w:pPr>
      <w:r>
        <w:t>Rehire eligibility</w:t>
      </w:r>
    </w:p>
    <w:p>
      <w:pPr>
        <w:pStyle w:val="ListBullet"/>
      </w:pPr>
      <w:r>
        <w:t>Offboarding completion and audit</w:t>
      </w:r>
    </w:p>
    <w:p>
      <w:pPr>
        <w:pStyle w:val="Heading2"/>
      </w:pPr>
      <w:r>
        <w:t>HRM-058 — Former Workers, Alumni and Rehire</w:t>
      </w:r>
    </w:p>
    <w:p>
      <w:pPr>
        <w:spacing w:after="60"/>
      </w:pPr>
      <w:r>
        <w:rPr>
          <w:b/>
          <w:color w:val="17365D"/>
        </w:rPr>
        <w:t xml:space="preserve">Capability tier: </w:t>
      </w:r>
      <w:r>
        <w:t>Advanced</w:t>
      </w:r>
    </w:p>
    <w:p>
      <w:pPr>
        <w:pStyle w:val="ListBullet"/>
      </w:pPr>
      <w:r>
        <w:t>Former-worker directory</w:t>
      </w:r>
    </w:p>
    <w:p>
      <w:pPr>
        <w:pStyle w:val="ListBullet"/>
      </w:pPr>
      <w:r>
        <w:t>Alumni status and communication consent</w:t>
      </w:r>
    </w:p>
    <w:p>
      <w:pPr>
        <w:pStyle w:val="ListBullet"/>
      </w:pPr>
      <w:r>
        <w:t>Employment verification and references</w:t>
      </w:r>
    </w:p>
    <w:p>
      <w:pPr>
        <w:pStyle w:val="ListBullet"/>
      </w:pPr>
      <w:r>
        <w:t>Historical document access</w:t>
      </w:r>
    </w:p>
    <w:p>
      <w:pPr>
        <w:pStyle w:val="ListBullet"/>
      </w:pPr>
      <w:r>
        <w:t>Outstanding obligations</w:t>
      </w:r>
    </w:p>
    <w:p>
      <w:pPr>
        <w:pStyle w:val="ListBullet"/>
      </w:pPr>
      <w:r>
        <w:t>Rehire eligibility and restrictions</w:t>
      </w:r>
    </w:p>
    <w:p>
      <w:pPr>
        <w:pStyle w:val="ListBullet"/>
      </w:pPr>
      <w:r>
        <w:t>Rehire workflow</w:t>
      </w:r>
    </w:p>
    <w:p>
      <w:pPr>
        <w:pStyle w:val="ListBullet"/>
      </w:pPr>
      <w:r>
        <w:t>Previous service recognition</w:t>
      </w:r>
    </w:p>
    <w:p>
      <w:pPr>
        <w:pStyle w:val="ListBullet"/>
      </w:pPr>
      <w:r>
        <w:t>New versus continued employment</w:t>
      </w:r>
    </w:p>
    <w:p>
      <w:pPr>
        <w:pStyle w:val="ListBullet"/>
      </w:pPr>
      <w:r>
        <w:t>Relevant record restoration</w:t>
      </w:r>
    </w:p>
    <w:p>
      <w:pPr>
        <w:pStyle w:val="ListBullet"/>
      </w:pPr>
      <w:r>
        <w:t>New access provisioning</w:t>
      </w:r>
    </w:p>
    <w:p>
      <w:pPr>
        <w:pStyle w:val="ListBullet"/>
      </w:pPr>
      <w:r>
        <w:t>Alumni and rehire reporting</w:t>
      </w:r>
    </w:p>
    <w:p>
      <w:r>
        <w:br w:type="page"/>
      </w:r>
    </w:p>
    <w:p>
      <w:pPr>
        <w:pStyle w:val="Heading1"/>
      </w:pPr>
      <w:r>
        <w:t>J. Payroll Detailed Capability Catalogue</w:t>
      </w:r>
    </w:p>
    <w:p>
      <w:r>
        <w:t>Payroll is one parent feature inside HRM, but its financial, statutory and operational depth requires a dedicated child-capability catalogue. All payroll rules remain configurable and effective-dated.</w:t>
      </w:r>
    </w:p>
    <w:tbl>
      <w:tblPr>
        <w:tblStyle w:val="TableGrid"/>
        <w:tblW w:type="dxa" w:w="9360"/>
        <w:jc w:val="left"/>
        <w:tblLayout w:type="fixed"/>
        <w:tblLook w:firstColumn="1" w:firstRow="1" w:lastColumn="0" w:lastRow="0" w:noHBand="0" w:noVBand="1" w:val="04A0"/>
      </w:tblPr>
      <w:tblGrid>
        <w:gridCol w:w="700"/>
        <w:gridCol w:w="2800"/>
        <w:gridCol w:w="5860"/>
      </w:tblGrid>
      <w:tr>
        <w:trPr>
          <w:tblHeader w:val="true"/>
        </w:trPr>
        <w:tc>
          <w:tcPr>
            <w:tcW w:type="dxa" w:w="700"/>
            <w:tcMar>
              <w:top w:w="80" w:type="dxa"/>
              <w:start w:w="120" w:type="dxa"/>
              <w:bottom w:w="80" w:type="dxa"/>
              <w:end w:w="120" w:type="dxa"/>
            </w:tcMar>
            <w:vAlign w:val="center"/>
            <w:shd w:fill="1F4E78"/>
          </w:tcPr>
          <w:p>
            <w:pPr>
              <w:spacing w:after="40" w:line="247" w:lineRule="auto"/>
            </w:pPr>
            <w:r>
              <w:rPr>
                <w:rFonts w:ascii="Aptos" w:hAnsi="Aptos"/>
                <w:b/>
                <w:color w:val="FFFFFF"/>
                <w:sz w:val="17"/>
              </w:rPr>
              <w:t>No.</w:t>
            </w:r>
          </w:p>
        </w:tc>
        <w:tc>
          <w:tcPr>
            <w:tcW w:type="dxa" w:w="2800"/>
            <w:tcMar>
              <w:top w:w="80" w:type="dxa"/>
              <w:start w:w="120" w:type="dxa"/>
              <w:bottom w:w="80" w:type="dxa"/>
              <w:end w:w="120" w:type="dxa"/>
            </w:tcMar>
            <w:vAlign w:val="center"/>
            <w:shd w:fill="1F4E78"/>
          </w:tcPr>
          <w:p>
            <w:pPr>
              <w:spacing w:after="40" w:line="247" w:lineRule="auto"/>
            </w:pPr>
            <w:r>
              <w:rPr>
                <w:rFonts w:ascii="Aptos" w:hAnsi="Aptos"/>
                <w:b/>
                <w:color w:val="FFFFFF"/>
                <w:sz w:val="17"/>
              </w:rPr>
              <w:t>Payroll capability</w:t>
            </w:r>
          </w:p>
        </w:tc>
        <w:tc>
          <w:tcPr>
            <w:tcW w:type="dxa" w:w="5860"/>
            <w:tcMar>
              <w:top w:w="80" w:type="dxa"/>
              <w:start w:w="120" w:type="dxa"/>
              <w:bottom w:w="80" w:type="dxa"/>
              <w:end w:w="120" w:type="dxa"/>
            </w:tcMar>
            <w:vAlign w:val="center"/>
            <w:shd w:fill="1F4E78"/>
          </w:tcPr>
          <w:p>
            <w:pPr>
              <w:spacing w:after="40" w:line="247" w:lineRule="auto"/>
            </w:pPr>
            <w:r>
              <w:rPr>
                <w:rFonts w:ascii="Aptos" w:hAnsi="Aptos"/>
                <w:b/>
                <w:color w:val="FFFFFF"/>
                <w:sz w:val="17"/>
              </w:rPr>
              <w:t>Coverage summary</w:t>
            </w:r>
          </w:p>
        </w:tc>
      </w:tr>
      <w:tr>
        <w:tc>
          <w:tcPr>
            <w:tcW w:type="dxa" w:w="700"/>
          </w:tcPr>
          <w:p>
            <w:pPr>
              <w:spacing w:after="40" w:line="247" w:lineRule="auto"/>
            </w:pPr>
            <w:r>
              <w:rPr>
                <w:rFonts w:ascii="Aptos" w:hAnsi="Aptos"/>
                <w:sz w:val="17"/>
              </w:rPr>
              <w:t>01</w:t>
            </w:r>
          </w:p>
        </w:tc>
        <w:tc>
          <w:tcPr>
            <w:tcW w:type="dxa" w:w="2800"/>
          </w:tcPr>
          <w:p>
            <w:pPr>
              <w:spacing w:after="40" w:line="247" w:lineRule="auto"/>
            </w:pPr>
            <w:r>
              <w:rPr>
                <w:rFonts w:ascii="Aptos" w:hAnsi="Aptos"/>
                <w:sz w:val="17"/>
              </w:rPr>
              <w:t>Payroll Dashboard</w:t>
            </w:r>
          </w:p>
        </w:tc>
        <w:tc>
          <w:tcPr>
            <w:tcW w:type="dxa" w:w="5860"/>
          </w:tcPr>
          <w:p>
            <w:pPr>
              <w:spacing w:after="40" w:line="247" w:lineRule="auto"/>
            </w:pPr>
            <w:r>
              <w:rPr>
                <w:rFonts w:ascii="Aptos" w:hAnsi="Aptos"/>
                <w:sz w:val="17"/>
              </w:rPr>
              <w:t>Period status, totals, exceptions, approvals, payment, payslip delivery and statutory deadlines.</w:t>
            </w:r>
          </w:p>
        </w:tc>
      </w:tr>
      <w:tr>
        <w:tc>
          <w:tcPr>
            <w:tcW w:type="dxa" w:w="700"/>
            <w:shd w:fill="FAFCFD"/>
          </w:tcPr>
          <w:p>
            <w:pPr>
              <w:spacing w:after="40" w:line="247" w:lineRule="auto"/>
            </w:pPr>
            <w:r>
              <w:rPr>
                <w:rFonts w:ascii="Aptos" w:hAnsi="Aptos"/>
                <w:sz w:val="17"/>
              </w:rPr>
              <w:t>02</w:t>
            </w:r>
          </w:p>
        </w:tc>
        <w:tc>
          <w:tcPr>
            <w:tcW w:type="dxa" w:w="2800"/>
            <w:shd w:fill="FAFCFD"/>
          </w:tcPr>
          <w:p>
            <w:pPr>
              <w:spacing w:after="40" w:line="247" w:lineRule="auto"/>
            </w:pPr>
            <w:r>
              <w:rPr>
                <w:rFonts w:ascii="Aptos" w:hAnsi="Aptos"/>
                <w:sz w:val="17"/>
              </w:rPr>
              <w:t>Payroll Organization Setup</w:t>
            </w:r>
          </w:p>
        </w:tc>
        <w:tc>
          <w:tcPr>
            <w:tcW w:type="dxa" w:w="5860"/>
            <w:shd w:fill="FAFCFD"/>
          </w:tcPr>
          <w:p>
            <w:pPr>
              <w:spacing w:after="40" w:line="247" w:lineRule="auto"/>
            </w:pPr>
            <w:r>
              <w:rPr>
                <w:rFonts w:ascii="Aptos" w:hAnsi="Aptos"/>
                <w:sz w:val="17"/>
              </w:rPr>
              <w:t>Legal employer, registrations, bank accounts, jurisdiction, currency and approval structure.</w:t>
            </w:r>
          </w:p>
        </w:tc>
      </w:tr>
      <w:tr>
        <w:tc>
          <w:tcPr>
            <w:tcW w:type="dxa" w:w="700"/>
          </w:tcPr>
          <w:p>
            <w:pPr>
              <w:spacing w:after="40" w:line="247" w:lineRule="auto"/>
            </w:pPr>
            <w:r>
              <w:rPr>
                <w:rFonts w:ascii="Aptos" w:hAnsi="Aptos"/>
                <w:sz w:val="17"/>
              </w:rPr>
              <w:t>03</w:t>
            </w:r>
          </w:p>
        </w:tc>
        <w:tc>
          <w:tcPr>
            <w:tcW w:type="dxa" w:w="2800"/>
          </w:tcPr>
          <w:p>
            <w:pPr>
              <w:spacing w:after="40" w:line="247" w:lineRule="auto"/>
            </w:pPr>
            <w:r>
              <w:rPr>
                <w:rFonts w:ascii="Aptos" w:hAnsi="Aptos"/>
                <w:sz w:val="17"/>
              </w:rPr>
              <w:t>Payroll Calendars and Periods</w:t>
            </w:r>
          </w:p>
        </w:tc>
        <w:tc>
          <w:tcPr>
            <w:tcW w:type="dxa" w:w="5860"/>
          </w:tcPr>
          <w:p>
            <w:pPr>
              <w:spacing w:after="40" w:line="247" w:lineRule="auto"/>
            </w:pPr>
            <w:r>
              <w:rPr>
                <w:rFonts w:ascii="Aptos" w:hAnsi="Aptos"/>
                <w:sz w:val="17"/>
              </w:rPr>
              <w:t>Pay frequency, period dates, cutoffs, payment dates, opening, locking and closing.</w:t>
            </w:r>
          </w:p>
        </w:tc>
      </w:tr>
      <w:tr>
        <w:tc>
          <w:tcPr>
            <w:tcW w:type="dxa" w:w="700"/>
            <w:shd w:fill="FAFCFD"/>
          </w:tcPr>
          <w:p>
            <w:pPr>
              <w:spacing w:after="40" w:line="247" w:lineRule="auto"/>
            </w:pPr>
            <w:r>
              <w:rPr>
                <w:rFonts w:ascii="Aptos" w:hAnsi="Aptos"/>
                <w:sz w:val="17"/>
              </w:rPr>
              <w:t>04</w:t>
            </w:r>
          </w:p>
        </w:tc>
        <w:tc>
          <w:tcPr>
            <w:tcW w:type="dxa" w:w="2800"/>
            <w:shd w:fill="FAFCFD"/>
          </w:tcPr>
          <w:p>
            <w:pPr>
              <w:spacing w:after="40" w:line="247" w:lineRule="auto"/>
            </w:pPr>
            <w:r>
              <w:rPr>
                <w:rFonts w:ascii="Aptos" w:hAnsi="Aptos"/>
                <w:sz w:val="17"/>
              </w:rPr>
              <w:t>Pay Groups</w:t>
            </w:r>
          </w:p>
        </w:tc>
        <w:tc>
          <w:tcPr>
            <w:tcW w:type="dxa" w:w="5860"/>
            <w:shd w:fill="FAFCFD"/>
          </w:tcPr>
          <w:p>
            <w:pPr>
              <w:spacing w:after="40" w:line="247" w:lineRule="auto"/>
            </w:pPr>
            <w:r>
              <w:rPr>
                <w:rFonts w:ascii="Aptos" w:hAnsi="Aptos"/>
                <w:sz w:val="17"/>
              </w:rPr>
              <w:t>Frequency, calendar, currency, salary structure, tax treatment and payment method.</w:t>
            </w:r>
          </w:p>
        </w:tc>
      </w:tr>
      <w:tr>
        <w:tc>
          <w:tcPr>
            <w:tcW w:type="dxa" w:w="700"/>
          </w:tcPr>
          <w:p>
            <w:pPr>
              <w:spacing w:after="40" w:line="247" w:lineRule="auto"/>
            </w:pPr>
            <w:r>
              <w:rPr>
                <w:rFonts w:ascii="Aptos" w:hAnsi="Aptos"/>
                <w:sz w:val="17"/>
              </w:rPr>
              <w:t>05</w:t>
            </w:r>
          </w:p>
        </w:tc>
        <w:tc>
          <w:tcPr>
            <w:tcW w:type="dxa" w:w="2800"/>
          </w:tcPr>
          <w:p>
            <w:pPr>
              <w:spacing w:after="40" w:line="247" w:lineRule="auto"/>
            </w:pPr>
            <w:r>
              <w:rPr>
                <w:rFonts w:ascii="Aptos" w:hAnsi="Aptos"/>
                <w:sz w:val="17"/>
              </w:rPr>
              <w:t>Employee Payroll Profiles</w:t>
            </w:r>
          </w:p>
        </w:tc>
        <w:tc>
          <w:tcPr>
            <w:tcW w:type="dxa" w:w="5860"/>
          </w:tcPr>
          <w:p>
            <w:pPr>
              <w:spacing w:after="40" w:line="247" w:lineRule="auto"/>
            </w:pPr>
            <w:r>
              <w:rPr>
                <w:rFonts w:ascii="Aptos" w:hAnsi="Aptos"/>
                <w:sz w:val="17"/>
              </w:rPr>
              <w:t>Worker linkage, tax and contribution status, pay group, bank details and effective dates.</w:t>
            </w:r>
          </w:p>
        </w:tc>
      </w:tr>
      <w:tr>
        <w:tc>
          <w:tcPr>
            <w:tcW w:type="dxa" w:w="700"/>
            <w:shd w:fill="FAFCFD"/>
          </w:tcPr>
          <w:p>
            <w:pPr>
              <w:spacing w:after="40" w:line="247" w:lineRule="auto"/>
            </w:pPr>
            <w:r>
              <w:rPr>
                <w:rFonts w:ascii="Aptos" w:hAnsi="Aptos"/>
                <w:sz w:val="17"/>
              </w:rPr>
              <w:t>06</w:t>
            </w:r>
          </w:p>
        </w:tc>
        <w:tc>
          <w:tcPr>
            <w:tcW w:type="dxa" w:w="2800"/>
            <w:shd w:fill="FAFCFD"/>
          </w:tcPr>
          <w:p>
            <w:pPr>
              <w:spacing w:after="40" w:line="247" w:lineRule="auto"/>
            </w:pPr>
            <w:r>
              <w:rPr>
                <w:rFonts w:ascii="Aptos" w:hAnsi="Aptos"/>
                <w:sz w:val="17"/>
              </w:rPr>
              <w:t>Salary Structures</w:t>
            </w:r>
          </w:p>
        </w:tc>
        <w:tc>
          <w:tcPr>
            <w:tcW w:type="dxa" w:w="5860"/>
            <w:shd w:fill="FAFCFD"/>
          </w:tcPr>
          <w:p>
            <w:pPr>
              <w:spacing w:after="40" w:line="247" w:lineRule="auto"/>
            </w:pPr>
            <w:r>
              <w:rPr>
                <w:rFonts w:ascii="Aptos" w:hAnsi="Aptos"/>
                <w:sz w:val="17"/>
              </w:rPr>
              <w:t>Reusable component packages, grades, eligibility, versions and assignments.</w:t>
            </w:r>
          </w:p>
        </w:tc>
      </w:tr>
      <w:tr>
        <w:tc>
          <w:tcPr>
            <w:tcW w:type="dxa" w:w="700"/>
          </w:tcPr>
          <w:p>
            <w:pPr>
              <w:spacing w:after="40" w:line="247" w:lineRule="auto"/>
            </w:pPr>
            <w:r>
              <w:rPr>
                <w:rFonts w:ascii="Aptos" w:hAnsi="Aptos"/>
                <w:sz w:val="17"/>
              </w:rPr>
              <w:t>07</w:t>
            </w:r>
          </w:p>
        </w:tc>
        <w:tc>
          <w:tcPr>
            <w:tcW w:type="dxa" w:w="2800"/>
          </w:tcPr>
          <w:p>
            <w:pPr>
              <w:spacing w:after="40" w:line="247" w:lineRule="auto"/>
            </w:pPr>
            <w:r>
              <w:rPr>
                <w:rFonts w:ascii="Aptos" w:hAnsi="Aptos"/>
                <w:sz w:val="17"/>
              </w:rPr>
              <w:t>Salary Components</w:t>
            </w:r>
          </w:p>
        </w:tc>
        <w:tc>
          <w:tcPr>
            <w:tcW w:type="dxa" w:w="5860"/>
          </w:tcPr>
          <w:p>
            <w:pPr>
              <w:spacing w:after="40" w:line="247" w:lineRule="auto"/>
            </w:pPr>
            <w:r>
              <w:rPr>
                <w:rFonts w:ascii="Aptos" w:hAnsi="Aptos"/>
                <w:sz w:val="17"/>
              </w:rPr>
              <w:t>Earning, deduction, contribution, formula, basis, priority, taxation and accounting mapping.</w:t>
            </w:r>
          </w:p>
        </w:tc>
      </w:tr>
      <w:tr>
        <w:tc>
          <w:tcPr>
            <w:tcW w:type="dxa" w:w="700"/>
            <w:shd w:fill="FAFCFD"/>
          </w:tcPr>
          <w:p>
            <w:pPr>
              <w:spacing w:after="40" w:line="247" w:lineRule="auto"/>
            </w:pPr>
            <w:r>
              <w:rPr>
                <w:rFonts w:ascii="Aptos" w:hAnsi="Aptos"/>
                <w:sz w:val="17"/>
              </w:rPr>
              <w:t>08</w:t>
            </w:r>
          </w:p>
        </w:tc>
        <w:tc>
          <w:tcPr>
            <w:tcW w:type="dxa" w:w="2800"/>
            <w:shd w:fill="FAFCFD"/>
          </w:tcPr>
          <w:p>
            <w:pPr>
              <w:spacing w:after="40" w:line="247" w:lineRule="auto"/>
            </w:pPr>
            <w:r>
              <w:rPr>
                <w:rFonts w:ascii="Aptos" w:hAnsi="Aptos"/>
                <w:sz w:val="17"/>
              </w:rPr>
              <w:t>Earnings and Allowances</w:t>
            </w:r>
          </w:p>
        </w:tc>
        <w:tc>
          <w:tcPr>
            <w:tcW w:type="dxa" w:w="5860"/>
            <w:shd w:fill="FAFCFD"/>
          </w:tcPr>
          <w:p>
            <w:pPr>
              <w:spacing w:after="40" w:line="247" w:lineRule="auto"/>
            </w:pPr>
            <w:r>
              <w:rPr>
                <w:rFonts w:ascii="Aptos" w:hAnsi="Aptos"/>
                <w:sz w:val="17"/>
              </w:rPr>
              <w:t>Basic pay, wages, overtime, bonus, commission, housing, transport, acting and other allowances.</w:t>
            </w:r>
          </w:p>
        </w:tc>
      </w:tr>
      <w:tr>
        <w:tc>
          <w:tcPr>
            <w:tcW w:type="dxa" w:w="700"/>
          </w:tcPr>
          <w:p>
            <w:pPr>
              <w:spacing w:after="40" w:line="247" w:lineRule="auto"/>
            </w:pPr>
            <w:r>
              <w:rPr>
                <w:rFonts w:ascii="Aptos" w:hAnsi="Aptos"/>
                <w:sz w:val="17"/>
              </w:rPr>
              <w:t>09</w:t>
            </w:r>
          </w:p>
        </w:tc>
        <w:tc>
          <w:tcPr>
            <w:tcW w:type="dxa" w:w="2800"/>
          </w:tcPr>
          <w:p>
            <w:pPr>
              <w:spacing w:after="40" w:line="247" w:lineRule="auto"/>
            </w:pPr>
            <w:r>
              <w:rPr>
                <w:rFonts w:ascii="Aptos" w:hAnsi="Aptos"/>
                <w:sz w:val="17"/>
              </w:rPr>
              <w:t>Deductions</w:t>
            </w:r>
          </w:p>
        </w:tc>
        <w:tc>
          <w:tcPr>
            <w:tcW w:type="dxa" w:w="5860"/>
          </w:tcPr>
          <w:p>
            <w:pPr>
              <w:spacing w:after="40" w:line="247" w:lineRule="auto"/>
            </w:pPr>
            <w:r>
              <w:rPr>
                <w:rFonts w:ascii="Aptos" w:hAnsi="Aptos"/>
                <w:sz w:val="17"/>
              </w:rPr>
              <w:t>Statutory, voluntary, recovery, court, union, loan and protected-net-pay deductions.</w:t>
            </w:r>
          </w:p>
        </w:tc>
      </w:tr>
      <w:tr>
        <w:tc>
          <w:tcPr>
            <w:tcW w:type="dxa" w:w="700"/>
            <w:shd w:fill="FAFCFD"/>
          </w:tcPr>
          <w:p>
            <w:pPr>
              <w:spacing w:after="40" w:line="247" w:lineRule="auto"/>
            </w:pPr>
            <w:r>
              <w:rPr>
                <w:rFonts w:ascii="Aptos" w:hAnsi="Aptos"/>
                <w:sz w:val="17"/>
              </w:rPr>
              <w:t>10</w:t>
            </w:r>
          </w:p>
        </w:tc>
        <w:tc>
          <w:tcPr>
            <w:tcW w:type="dxa" w:w="2800"/>
            <w:shd w:fill="FAFCFD"/>
          </w:tcPr>
          <w:p>
            <w:pPr>
              <w:spacing w:after="40" w:line="247" w:lineRule="auto"/>
            </w:pPr>
            <w:r>
              <w:rPr>
                <w:rFonts w:ascii="Aptos" w:hAnsi="Aptos"/>
                <w:sz w:val="17"/>
              </w:rPr>
              <w:t>Statutory Contributions</w:t>
            </w:r>
          </w:p>
        </w:tc>
        <w:tc>
          <w:tcPr>
            <w:tcW w:type="dxa" w:w="5860"/>
            <w:shd w:fill="FAFCFD"/>
          </w:tcPr>
          <w:p>
            <w:pPr>
              <w:spacing w:after="40" w:line="247" w:lineRule="auto"/>
            </w:pPr>
            <w:r>
              <w:rPr>
                <w:rFonts w:ascii="Aptos" w:hAnsi="Aptos"/>
                <w:sz w:val="17"/>
              </w:rPr>
              <w:t>Employee and employer rates, ceilings, floors, exemptions, schedules and reconciliation.</w:t>
            </w:r>
          </w:p>
        </w:tc>
      </w:tr>
      <w:tr>
        <w:tc>
          <w:tcPr>
            <w:tcW w:type="dxa" w:w="700"/>
          </w:tcPr>
          <w:p>
            <w:pPr>
              <w:spacing w:after="40" w:line="247" w:lineRule="auto"/>
            </w:pPr>
            <w:r>
              <w:rPr>
                <w:rFonts w:ascii="Aptos" w:hAnsi="Aptos"/>
                <w:sz w:val="17"/>
              </w:rPr>
              <w:t>11</w:t>
            </w:r>
          </w:p>
        </w:tc>
        <w:tc>
          <w:tcPr>
            <w:tcW w:type="dxa" w:w="2800"/>
          </w:tcPr>
          <w:p>
            <w:pPr>
              <w:spacing w:after="40" w:line="247" w:lineRule="auto"/>
            </w:pPr>
            <w:r>
              <w:rPr>
                <w:rFonts w:ascii="Aptos" w:hAnsi="Aptos"/>
                <w:sz w:val="17"/>
              </w:rPr>
              <w:t>Tax Management</w:t>
            </w:r>
          </w:p>
        </w:tc>
        <w:tc>
          <w:tcPr>
            <w:tcW w:type="dxa" w:w="5860"/>
          </w:tcPr>
          <w:p>
            <w:pPr>
              <w:spacing w:after="40" w:line="247" w:lineRule="auto"/>
            </w:pPr>
            <w:r>
              <w:rPr>
                <w:rFonts w:ascii="Aptos" w:hAnsi="Aptos"/>
                <w:sz w:val="17"/>
              </w:rPr>
              <w:t>Tax years, slabs, taxable components, reliefs, annualization, lump sums and effective dates.</w:t>
            </w:r>
          </w:p>
        </w:tc>
      </w:tr>
      <w:tr>
        <w:tc>
          <w:tcPr>
            <w:tcW w:type="dxa" w:w="700"/>
            <w:shd w:fill="FAFCFD"/>
          </w:tcPr>
          <w:p>
            <w:pPr>
              <w:spacing w:after="40" w:line="247" w:lineRule="auto"/>
            </w:pPr>
            <w:r>
              <w:rPr>
                <w:rFonts w:ascii="Aptos" w:hAnsi="Aptos"/>
                <w:sz w:val="17"/>
              </w:rPr>
              <w:t>12</w:t>
            </w:r>
          </w:p>
        </w:tc>
        <w:tc>
          <w:tcPr>
            <w:tcW w:type="dxa" w:w="2800"/>
            <w:shd w:fill="FAFCFD"/>
          </w:tcPr>
          <w:p>
            <w:pPr>
              <w:spacing w:after="40" w:line="247" w:lineRule="auto"/>
            </w:pPr>
            <w:r>
              <w:rPr>
                <w:rFonts w:ascii="Aptos" w:hAnsi="Aptos"/>
                <w:sz w:val="17"/>
              </w:rPr>
              <w:t>Benefits and Employer Contributions</w:t>
            </w:r>
          </w:p>
        </w:tc>
        <w:tc>
          <w:tcPr>
            <w:tcW w:type="dxa" w:w="5860"/>
            <w:shd w:fill="FAFCFD"/>
          </w:tcPr>
          <w:p>
            <w:pPr>
              <w:spacing w:after="40" w:line="247" w:lineRule="auto"/>
            </w:pPr>
            <w:r>
              <w:rPr>
                <w:rFonts w:ascii="Aptos" w:hAnsi="Aptos"/>
                <w:sz w:val="17"/>
              </w:rPr>
              <w:t>Pension, medical, insurance, benefit in kind, employer cost and employee contribution.</w:t>
            </w:r>
          </w:p>
        </w:tc>
      </w:tr>
      <w:tr>
        <w:tc>
          <w:tcPr>
            <w:tcW w:type="dxa" w:w="700"/>
          </w:tcPr>
          <w:p>
            <w:pPr>
              <w:spacing w:after="40" w:line="247" w:lineRule="auto"/>
            </w:pPr>
            <w:r>
              <w:rPr>
                <w:rFonts w:ascii="Aptos" w:hAnsi="Aptos"/>
                <w:sz w:val="17"/>
              </w:rPr>
              <w:t>13</w:t>
            </w:r>
          </w:p>
        </w:tc>
        <w:tc>
          <w:tcPr>
            <w:tcW w:type="dxa" w:w="2800"/>
          </w:tcPr>
          <w:p>
            <w:pPr>
              <w:spacing w:after="40" w:line="247" w:lineRule="auto"/>
            </w:pPr>
            <w:r>
              <w:rPr>
                <w:rFonts w:ascii="Aptos" w:hAnsi="Aptos"/>
                <w:sz w:val="17"/>
              </w:rPr>
              <w:t>Loans, Advances and Recoveries</w:t>
            </w:r>
          </w:p>
        </w:tc>
        <w:tc>
          <w:tcPr>
            <w:tcW w:type="dxa" w:w="5860"/>
          </w:tcPr>
          <w:p>
            <w:pPr>
              <w:spacing w:after="40" w:line="247" w:lineRule="auto"/>
            </w:pPr>
            <w:r>
              <w:rPr>
                <w:rFonts w:ascii="Aptos" w:hAnsi="Aptos"/>
                <w:sz w:val="17"/>
              </w:rPr>
              <w:t>Principal, interest, instalments, balances, restructuring, settlement and lending integration.</w:t>
            </w:r>
          </w:p>
        </w:tc>
      </w:tr>
      <w:tr>
        <w:tc>
          <w:tcPr>
            <w:tcW w:type="dxa" w:w="700"/>
            <w:shd w:fill="FAFCFD"/>
          </w:tcPr>
          <w:p>
            <w:pPr>
              <w:spacing w:after="40" w:line="247" w:lineRule="auto"/>
            </w:pPr>
            <w:r>
              <w:rPr>
                <w:rFonts w:ascii="Aptos" w:hAnsi="Aptos"/>
                <w:sz w:val="17"/>
              </w:rPr>
              <w:t>14</w:t>
            </w:r>
          </w:p>
        </w:tc>
        <w:tc>
          <w:tcPr>
            <w:tcW w:type="dxa" w:w="2800"/>
            <w:shd w:fill="FAFCFD"/>
          </w:tcPr>
          <w:p>
            <w:pPr>
              <w:spacing w:after="40" w:line="247" w:lineRule="auto"/>
            </w:pPr>
            <w:r>
              <w:rPr>
                <w:rFonts w:ascii="Aptos" w:hAnsi="Aptos"/>
                <w:sz w:val="17"/>
              </w:rPr>
              <w:t>Time and Attendance Inputs</w:t>
            </w:r>
          </w:p>
        </w:tc>
        <w:tc>
          <w:tcPr>
            <w:tcW w:type="dxa" w:w="5860"/>
            <w:shd w:fill="FAFCFD"/>
          </w:tcPr>
          <w:p>
            <w:pPr>
              <w:spacing w:after="40" w:line="247" w:lineRule="auto"/>
            </w:pPr>
            <w:r>
              <w:rPr>
                <w:rFonts w:ascii="Aptos" w:hAnsi="Aptos"/>
                <w:sz w:val="17"/>
              </w:rPr>
              <w:t>Hours, overtime, shifts, absence, approval, cutoff and reconciliation.</w:t>
            </w:r>
          </w:p>
        </w:tc>
      </w:tr>
      <w:tr>
        <w:tc>
          <w:tcPr>
            <w:tcW w:type="dxa" w:w="700"/>
          </w:tcPr>
          <w:p>
            <w:pPr>
              <w:spacing w:after="40" w:line="247" w:lineRule="auto"/>
            </w:pPr>
            <w:r>
              <w:rPr>
                <w:rFonts w:ascii="Aptos" w:hAnsi="Aptos"/>
                <w:sz w:val="17"/>
              </w:rPr>
              <w:t>15</w:t>
            </w:r>
          </w:p>
        </w:tc>
        <w:tc>
          <w:tcPr>
            <w:tcW w:type="dxa" w:w="2800"/>
          </w:tcPr>
          <w:p>
            <w:pPr>
              <w:spacing w:after="40" w:line="247" w:lineRule="auto"/>
            </w:pPr>
            <w:r>
              <w:rPr>
                <w:rFonts w:ascii="Aptos" w:hAnsi="Aptos"/>
                <w:sz w:val="17"/>
              </w:rPr>
              <w:t>Leave-Related Payroll</w:t>
            </w:r>
          </w:p>
        </w:tc>
        <w:tc>
          <w:tcPr>
            <w:tcW w:type="dxa" w:w="5860"/>
          </w:tcPr>
          <w:p>
            <w:pPr>
              <w:spacing w:after="40" w:line="247" w:lineRule="auto"/>
            </w:pPr>
            <w:r>
              <w:rPr>
                <w:rFonts w:ascii="Aptos" w:hAnsi="Aptos"/>
                <w:sz w:val="17"/>
              </w:rPr>
              <w:t>Paid, unpaid and half-pay leave, encashment, recovery and retroactive adjustment.</w:t>
            </w:r>
          </w:p>
        </w:tc>
      </w:tr>
      <w:tr>
        <w:tc>
          <w:tcPr>
            <w:tcW w:type="dxa" w:w="700"/>
            <w:shd w:fill="FAFCFD"/>
          </w:tcPr>
          <w:p>
            <w:pPr>
              <w:spacing w:after="40" w:line="247" w:lineRule="auto"/>
            </w:pPr>
            <w:r>
              <w:rPr>
                <w:rFonts w:ascii="Aptos" w:hAnsi="Aptos"/>
                <w:sz w:val="17"/>
              </w:rPr>
              <w:t>16</w:t>
            </w:r>
          </w:p>
        </w:tc>
        <w:tc>
          <w:tcPr>
            <w:tcW w:type="dxa" w:w="2800"/>
            <w:shd w:fill="FAFCFD"/>
          </w:tcPr>
          <w:p>
            <w:pPr>
              <w:spacing w:after="40" w:line="247" w:lineRule="auto"/>
            </w:pPr>
            <w:r>
              <w:rPr>
                <w:rFonts w:ascii="Aptos" w:hAnsi="Aptos"/>
                <w:sz w:val="17"/>
              </w:rPr>
              <w:t>Variable Payroll Inputs</w:t>
            </w:r>
          </w:p>
        </w:tc>
        <w:tc>
          <w:tcPr>
            <w:tcW w:type="dxa" w:w="5860"/>
            <w:shd w:fill="FAFCFD"/>
          </w:tcPr>
          <w:p>
            <w:pPr>
              <w:spacing w:after="40" w:line="247" w:lineRule="auto"/>
            </w:pPr>
            <w:r>
              <w:rPr>
                <w:rFonts w:ascii="Aptos" w:hAnsi="Aptos"/>
                <w:sz w:val="17"/>
              </w:rPr>
              <w:t>One-time earnings, deductions, imports, evidence, approval and duplicate validation.</w:t>
            </w:r>
          </w:p>
        </w:tc>
      </w:tr>
      <w:tr>
        <w:tc>
          <w:tcPr>
            <w:tcW w:type="dxa" w:w="700"/>
          </w:tcPr>
          <w:p>
            <w:pPr>
              <w:spacing w:after="40" w:line="247" w:lineRule="auto"/>
            </w:pPr>
            <w:r>
              <w:rPr>
                <w:rFonts w:ascii="Aptos" w:hAnsi="Aptos"/>
                <w:sz w:val="17"/>
              </w:rPr>
              <w:t>17</w:t>
            </w:r>
          </w:p>
        </w:tc>
        <w:tc>
          <w:tcPr>
            <w:tcW w:type="dxa" w:w="2800"/>
          </w:tcPr>
          <w:p>
            <w:pPr>
              <w:spacing w:after="40" w:line="247" w:lineRule="auto"/>
            </w:pPr>
            <w:r>
              <w:rPr>
                <w:rFonts w:ascii="Aptos" w:hAnsi="Aptos"/>
                <w:sz w:val="17"/>
              </w:rPr>
              <w:t>Payroll Calculation Engine</w:t>
            </w:r>
          </w:p>
        </w:tc>
        <w:tc>
          <w:tcPr>
            <w:tcW w:type="dxa" w:w="5860"/>
          </w:tcPr>
          <w:p>
            <w:pPr>
              <w:spacing w:after="40" w:line="247" w:lineRule="auto"/>
            </w:pPr>
            <w:r>
              <w:rPr>
                <w:rFonts w:ascii="Aptos" w:hAnsi="Aptos"/>
                <w:sz w:val="17"/>
              </w:rPr>
              <w:t>Gross-to-net, formulas, ordered components, proration, rounding, limits and explainability.</w:t>
            </w:r>
          </w:p>
        </w:tc>
      </w:tr>
      <w:tr>
        <w:tc>
          <w:tcPr>
            <w:tcW w:type="dxa" w:w="700"/>
            <w:shd w:fill="FAFCFD"/>
          </w:tcPr>
          <w:p>
            <w:pPr>
              <w:spacing w:after="40" w:line="247" w:lineRule="auto"/>
            </w:pPr>
            <w:r>
              <w:rPr>
                <w:rFonts w:ascii="Aptos" w:hAnsi="Aptos"/>
                <w:sz w:val="17"/>
              </w:rPr>
              <w:t>18</w:t>
            </w:r>
          </w:p>
        </w:tc>
        <w:tc>
          <w:tcPr>
            <w:tcW w:type="dxa" w:w="2800"/>
            <w:shd w:fill="FAFCFD"/>
          </w:tcPr>
          <w:p>
            <w:pPr>
              <w:spacing w:after="40" w:line="247" w:lineRule="auto"/>
            </w:pPr>
            <w:r>
              <w:rPr>
                <w:rFonts w:ascii="Aptos" w:hAnsi="Aptos"/>
                <w:sz w:val="17"/>
              </w:rPr>
              <w:t>Payroll Run Management</w:t>
            </w:r>
          </w:p>
        </w:tc>
        <w:tc>
          <w:tcPr>
            <w:tcW w:type="dxa" w:w="5860"/>
            <w:shd w:fill="FAFCFD"/>
          </w:tcPr>
          <w:p>
            <w:pPr>
              <w:spacing w:after="40" w:line="247" w:lineRule="auto"/>
            </w:pPr>
            <w:r>
              <w:rPr>
                <w:rFonts w:ascii="Aptos" w:hAnsi="Aptos"/>
                <w:sz w:val="17"/>
              </w:rPr>
              <w:t>Creation, inclusion, calculation, validation, approval, payment, payslip and closure.</w:t>
            </w:r>
          </w:p>
        </w:tc>
      </w:tr>
      <w:tr>
        <w:tc>
          <w:tcPr>
            <w:tcW w:type="dxa" w:w="700"/>
          </w:tcPr>
          <w:p>
            <w:pPr>
              <w:spacing w:after="40" w:line="247" w:lineRule="auto"/>
            </w:pPr>
            <w:r>
              <w:rPr>
                <w:rFonts w:ascii="Aptos" w:hAnsi="Aptos"/>
                <w:sz w:val="17"/>
              </w:rPr>
              <w:t>19</w:t>
            </w:r>
          </w:p>
        </w:tc>
        <w:tc>
          <w:tcPr>
            <w:tcW w:type="dxa" w:w="2800"/>
          </w:tcPr>
          <w:p>
            <w:pPr>
              <w:spacing w:after="40" w:line="247" w:lineRule="auto"/>
            </w:pPr>
            <w:r>
              <w:rPr>
                <w:rFonts w:ascii="Aptos" w:hAnsi="Aptos"/>
                <w:sz w:val="17"/>
              </w:rPr>
              <w:t>Payroll Validation and Exceptions</w:t>
            </w:r>
          </w:p>
        </w:tc>
        <w:tc>
          <w:tcPr>
            <w:tcW w:type="dxa" w:w="5860"/>
          </w:tcPr>
          <w:p>
            <w:pPr>
              <w:spacing w:after="40" w:line="247" w:lineRule="auto"/>
            </w:pPr>
            <w:r>
              <w:rPr>
                <w:rFonts w:ascii="Aptos" w:hAnsi="Aptos"/>
                <w:sz w:val="17"/>
              </w:rPr>
              <w:t>Missing data, negative net, variances, invalid formulas, duplicates and statutory violations.</w:t>
            </w:r>
          </w:p>
        </w:tc>
      </w:tr>
      <w:tr>
        <w:tc>
          <w:tcPr>
            <w:tcW w:type="dxa" w:w="700"/>
            <w:shd w:fill="FAFCFD"/>
          </w:tcPr>
          <w:p>
            <w:pPr>
              <w:spacing w:after="40" w:line="247" w:lineRule="auto"/>
            </w:pPr>
            <w:r>
              <w:rPr>
                <w:rFonts w:ascii="Aptos" w:hAnsi="Aptos"/>
                <w:sz w:val="17"/>
              </w:rPr>
              <w:t>20</w:t>
            </w:r>
          </w:p>
        </w:tc>
        <w:tc>
          <w:tcPr>
            <w:tcW w:type="dxa" w:w="2800"/>
            <w:shd w:fill="FAFCFD"/>
          </w:tcPr>
          <w:p>
            <w:pPr>
              <w:spacing w:after="40" w:line="247" w:lineRule="auto"/>
            </w:pPr>
            <w:r>
              <w:rPr>
                <w:rFonts w:ascii="Aptos" w:hAnsi="Aptos"/>
                <w:sz w:val="17"/>
              </w:rPr>
              <w:t>Payroll Approval</w:t>
            </w:r>
          </w:p>
        </w:tc>
        <w:tc>
          <w:tcPr>
            <w:tcW w:type="dxa" w:w="5860"/>
            <w:shd w:fill="FAFCFD"/>
          </w:tcPr>
          <w:p>
            <w:pPr>
              <w:spacing w:after="40" w:line="247" w:lineRule="auto"/>
            </w:pPr>
            <w:r>
              <w:rPr>
                <w:rFonts w:ascii="Aptos" w:hAnsi="Aptos"/>
                <w:sz w:val="17"/>
              </w:rPr>
              <w:t>Maker-checker, reviewer, finance and executive approval, rejection and locking.</w:t>
            </w:r>
          </w:p>
        </w:tc>
      </w:tr>
      <w:tr>
        <w:tc>
          <w:tcPr>
            <w:tcW w:type="dxa" w:w="700"/>
          </w:tcPr>
          <w:p>
            <w:pPr>
              <w:spacing w:after="40" w:line="247" w:lineRule="auto"/>
            </w:pPr>
            <w:r>
              <w:rPr>
                <w:rFonts w:ascii="Aptos" w:hAnsi="Aptos"/>
                <w:sz w:val="17"/>
              </w:rPr>
              <w:t>21</w:t>
            </w:r>
          </w:p>
        </w:tc>
        <w:tc>
          <w:tcPr>
            <w:tcW w:type="dxa" w:w="2800"/>
          </w:tcPr>
          <w:p>
            <w:pPr>
              <w:spacing w:after="40" w:line="247" w:lineRule="auto"/>
            </w:pPr>
            <w:r>
              <w:rPr>
                <w:rFonts w:ascii="Aptos" w:hAnsi="Aptos"/>
                <w:sz w:val="17"/>
              </w:rPr>
              <w:t>Payslip Generation</w:t>
            </w:r>
          </w:p>
        </w:tc>
        <w:tc>
          <w:tcPr>
            <w:tcW w:type="dxa" w:w="5860"/>
          </w:tcPr>
          <w:p>
            <w:pPr>
              <w:spacing w:after="40" w:line="247" w:lineRule="auto"/>
            </w:pPr>
            <w:r>
              <w:rPr>
                <w:rFonts w:ascii="Aptos" w:hAnsi="Aptos"/>
                <w:sz w:val="17"/>
              </w:rPr>
              <w:t>PDF and accessible view, branding, components, year-to-date values and verification.</w:t>
            </w:r>
          </w:p>
        </w:tc>
      </w:tr>
      <w:tr>
        <w:tc>
          <w:tcPr>
            <w:tcW w:type="dxa" w:w="700"/>
            <w:shd w:fill="FAFCFD"/>
          </w:tcPr>
          <w:p>
            <w:pPr>
              <w:spacing w:after="40" w:line="247" w:lineRule="auto"/>
            </w:pPr>
            <w:r>
              <w:rPr>
                <w:rFonts w:ascii="Aptos" w:hAnsi="Aptos"/>
                <w:sz w:val="17"/>
              </w:rPr>
              <w:t>22</w:t>
            </w:r>
          </w:p>
        </w:tc>
        <w:tc>
          <w:tcPr>
            <w:tcW w:type="dxa" w:w="2800"/>
            <w:shd w:fill="FAFCFD"/>
          </w:tcPr>
          <w:p>
            <w:pPr>
              <w:spacing w:after="40" w:line="247" w:lineRule="auto"/>
            </w:pPr>
            <w:r>
              <w:rPr>
                <w:rFonts w:ascii="Aptos" w:hAnsi="Aptos"/>
                <w:sz w:val="17"/>
              </w:rPr>
              <w:t>Payslip Delivery and History</w:t>
            </w:r>
          </w:p>
        </w:tc>
        <w:tc>
          <w:tcPr>
            <w:tcW w:type="dxa" w:w="5860"/>
            <w:shd w:fill="FAFCFD"/>
          </w:tcPr>
          <w:p>
            <w:pPr>
              <w:spacing w:after="40" w:line="247" w:lineRule="auto"/>
            </w:pPr>
            <w:r>
              <w:rPr>
                <w:rFonts w:ascii="Aptos" w:hAnsi="Aptos"/>
                <w:sz w:val="17"/>
              </w:rPr>
              <w:t>Release, channels, delivery status, retrieval, resend, versions and access history.</w:t>
            </w:r>
          </w:p>
        </w:tc>
      </w:tr>
      <w:tr>
        <w:tc>
          <w:tcPr>
            <w:tcW w:type="dxa" w:w="700"/>
          </w:tcPr>
          <w:p>
            <w:pPr>
              <w:spacing w:after="40" w:line="247" w:lineRule="auto"/>
            </w:pPr>
            <w:r>
              <w:rPr>
                <w:rFonts w:ascii="Aptos" w:hAnsi="Aptos"/>
                <w:sz w:val="17"/>
              </w:rPr>
              <w:t>23</w:t>
            </w:r>
          </w:p>
        </w:tc>
        <w:tc>
          <w:tcPr>
            <w:tcW w:type="dxa" w:w="2800"/>
          </w:tcPr>
          <w:p>
            <w:pPr>
              <w:spacing w:after="40" w:line="247" w:lineRule="auto"/>
            </w:pPr>
            <w:r>
              <w:rPr>
                <w:rFonts w:ascii="Aptos" w:hAnsi="Aptos"/>
                <w:sz w:val="17"/>
              </w:rPr>
              <w:t>Employee Payroll Self-Service</w:t>
            </w:r>
          </w:p>
        </w:tc>
        <w:tc>
          <w:tcPr>
            <w:tcW w:type="dxa" w:w="5860"/>
          </w:tcPr>
          <w:p>
            <w:pPr>
              <w:spacing w:after="40" w:line="247" w:lineRule="auto"/>
            </w:pPr>
            <w:r>
              <w:rPr>
                <w:rFonts w:ascii="Aptos" w:hAnsi="Aptos"/>
                <w:sz w:val="17"/>
              </w:rPr>
              <w:t>Payslips, balances, tax, benefits, bank changes, queries and delivery preferences.</w:t>
            </w:r>
          </w:p>
        </w:tc>
      </w:tr>
      <w:tr>
        <w:tc>
          <w:tcPr>
            <w:tcW w:type="dxa" w:w="700"/>
            <w:shd w:fill="FAFCFD"/>
          </w:tcPr>
          <w:p>
            <w:pPr>
              <w:spacing w:after="40" w:line="247" w:lineRule="auto"/>
            </w:pPr>
            <w:r>
              <w:rPr>
                <w:rFonts w:ascii="Aptos" w:hAnsi="Aptos"/>
                <w:sz w:val="17"/>
              </w:rPr>
              <w:t>24</w:t>
            </w:r>
          </w:p>
        </w:tc>
        <w:tc>
          <w:tcPr>
            <w:tcW w:type="dxa" w:w="2800"/>
            <w:shd w:fill="FAFCFD"/>
          </w:tcPr>
          <w:p>
            <w:pPr>
              <w:spacing w:after="40" w:line="247" w:lineRule="auto"/>
            </w:pPr>
            <w:r>
              <w:rPr>
                <w:rFonts w:ascii="Aptos" w:hAnsi="Aptos"/>
                <w:sz w:val="17"/>
              </w:rPr>
              <w:t>Payments and Bank Processing</w:t>
            </w:r>
          </w:p>
        </w:tc>
        <w:tc>
          <w:tcPr>
            <w:tcW w:type="dxa" w:w="5860"/>
            <w:shd w:fill="FAFCFD"/>
          </w:tcPr>
          <w:p>
            <w:pPr>
              <w:spacing w:after="40" w:line="247" w:lineRule="auto"/>
            </w:pPr>
            <w:r>
              <w:rPr>
                <w:rFonts w:ascii="Aptos" w:hAnsi="Aptos"/>
                <w:sz w:val="17"/>
              </w:rPr>
              <w:t>Bank, mobile money, split payment, files, authorization, failures and reconciliation.</w:t>
            </w:r>
          </w:p>
        </w:tc>
      </w:tr>
      <w:tr>
        <w:tc>
          <w:tcPr>
            <w:tcW w:type="dxa" w:w="700"/>
          </w:tcPr>
          <w:p>
            <w:pPr>
              <w:spacing w:after="40" w:line="247" w:lineRule="auto"/>
            </w:pPr>
            <w:r>
              <w:rPr>
                <w:rFonts w:ascii="Aptos" w:hAnsi="Aptos"/>
                <w:sz w:val="17"/>
              </w:rPr>
              <w:t>25</w:t>
            </w:r>
          </w:p>
        </w:tc>
        <w:tc>
          <w:tcPr>
            <w:tcW w:type="dxa" w:w="2800"/>
          </w:tcPr>
          <w:p>
            <w:pPr>
              <w:spacing w:after="40" w:line="247" w:lineRule="auto"/>
            </w:pPr>
            <w:r>
              <w:rPr>
                <w:rFonts w:ascii="Aptos" w:hAnsi="Aptos"/>
                <w:sz w:val="17"/>
              </w:rPr>
              <w:t>Third-Party Payments</w:t>
            </w:r>
          </w:p>
        </w:tc>
        <w:tc>
          <w:tcPr>
            <w:tcW w:type="dxa" w:w="5860"/>
          </w:tcPr>
          <w:p>
            <w:pPr>
              <w:spacing w:after="40" w:line="247" w:lineRule="auto"/>
            </w:pPr>
            <w:r>
              <w:rPr>
                <w:rFonts w:ascii="Aptos" w:hAnsi="Aptos"/>
                <w:sz w:val="17"/>
              </w:rPr>
              <w:t>Tax, pension, health, union, court, insurance and other remittances.</w:t>
            </w:r>
          </w:p>
        </w:tc>
      </w:tr>
      <w:tr>
        <w:tc>
          <w:tcPr>
            <w:tcW w:type="dxa" w:w="700"/>
            <w:shd w:fill="FAFCFD"/>
          </w:tcPr>
          <w:p>
            <w:pPr>
              <w:spacing w:after="40" w:line="247" w:lineRule="auto"/>
            </w:pPr>
            <w:r>
              <w:rPr>
                <w:rFonts w:ascii="Aptos" w:hAnsi="Aptos"/>
                <w:sz w:val="17"/>
              </w:rPr>
              <w:t>26</w:t>
            </w:r>
          </w:p>
        </w:tc>
        <w:tc>
          <w:tcPr>
            <w:tcW w:type="dxa" w:w="2800"/>
            <w:shd w:fill="FAFCFD"/>
          </w:tcPr>
          <w:p>
            <w:pPr>
              <w:spacing w:after="40" w:line="247" w:lineRule="auto"/>
            </w:pPr>
            <w:r>
              <w:rPr>
                <w:rFonts w:ascii="Aptos" w:hAnsi="Aptos"/>
                <w:sz w:val="17"/>
              </w:rPr>
              <w:t>Accounting and General Ledger</w:t>
            </w:r>
          </w:p>
        </w:tc>
        <w:tc>
          <w:tcPr>
            <w:tcW w:type="dxa" w:w="5860"/>
            <w:shd w:fill="FAFCFD"/>
          </w:tcPr>
          <w:p>
            <w:pPr>
              <w:spacing w:after="40" w:line="247" w:lineRule="auto"/>
            </w:pPr>
            <w:r>
              <w:rPr>
                <w:rFonts w:ascii="Aptos" w:hAnsi="Aptos"/>
                <w:sz w:val="17"/>
              </w:rPr>
              <w:t>Component mapping, cost centres, journals, liabilities, posting and recovery.</w:t>
            </w:r>
          </w:p>
        </w:tc>
      </w:tr>
      <w:tr>
        <w:tc>
          <w:tcPr>
            <w:tcW w:type="dxa" w:w="700"/>
          </w:tcPr>
          <w:p>
            <w:pPr>
              <w:spacing w:after="40" w:line="247" w:lineRule="auto"/>
            </w:pPr>
            <w:r>
              <w:rPr>
                <w:rFonts w:ascii="Aptos" w:hAnsi="Aptos"/>
                <w:sz w:val="17"/>
              </w:rPr>
              <w:t>27</w:t>
            </w:r>
          </w:p>
        </w:tc>
        <w:tc>
          <w:tcPr>
            <w:tcW w:type="dxa" w:w="2800"/>
          </w:tcPr>
          <w:p>
            <w:pPr>
              <w:spacing w:after="40" w:line="247" w:lineRule="auto"/>
            </w:pPr>
            <w:r>
              <w:rPr>
                <w:rFonts w:ascii="Aptos" w:hAnsi="Aptos"/>
                <w:sz w:val="17"/>
              </w:rPr>
              <w:t>Reconciliation</w:t>
            </w:r>
          </w:p>
        </w:tc>
        <w:tc>
          <w:tcPr>
            <w:tcW w:type="dxa" w:w="5860"/>
          </w:tcPr>
          <w:p>
            <w:pPr>
              <w:spacing w:after="40" w:line="247" w:lineRule="auto"/>
            </w:pPr>
            <w:r>
              <w:rPr>
                <w:rFonts w:ascii="Aptos" w:hAnsi="Aptos"/>
                <w:sz w:val="17"/>
              </w:rPr>
              <w:t>Headcount, gross-to-net, bank, ledger, statutory, third-party and payslip reconciliation.</w:t>
            </w:r>
          </w:p>
        </w:tc>
      </w:tr>
      <w:tr>
        <w:tc>
          <w:tcPr>
            <w:tcW w:type="dxa" w:w="700"/>
            <w:shd w:fill="FAFCFD"/>
          </w:tcPr>
          <w:p>
            <w:pPr>
              <w:spacing w:after="40" w:line="247" w:lineRule="auto"/>
            </w:pPr>
            <w:r>
              <w:rPr>
                <w:rFonts w:ascii="Aptos" w:hAnsi="Aptos"/>
                <w:sz w:val="17"/>
              </w:rPr>
              <w:t>28</w:t>
            </w:r>
          </w:p>
        </w:tc>
        <w:tc>
          <w:tcPr>
            <w:tcW w:type="dxa" w:w="2800"/>
            <w:shd w:fill="FAFCFD"/>
          </w:tcPr>
          <w:p>
            <w:pPr>
              <w:spacing w:after="40" w:line="247" w:lineRule="auto"/>
            </w:pPr>
            <w:r>
              <w:rPr>
                <w:rFonts w:ascii="Aptos" w:hAnsi="Aptos"/>
                <w:sz w:val="17"/>
              </w:rPr>
              <w:t>Corrections and Reversals</w:t>
            </w:r>
          </w:p>
        </w:tc>
        <w:tc>
          <w:tcPr>
            <w:tcW w:type="dxa" w:w="5860"/>
            <w:shd w:fill="FAFCFD"/>
          </w:tcPr>
          <w:p>
            <w:pPr>
              <w:spacing w:after="40" w:line="247" w:lineRule="auto"/>
            </w:pPr>
            <w:r>
              <w:rPr>
                <w:rFonts w:ascii="Aptos" w:hAnsi="Aptos"/>
                <w:sz w:val="17"/>
              </w:rPr>
              <w:t>Pre- and post-payment corrections, overpayments, underpayments and preserved originals.</w:t>
            </w:r>
          </w:p>
        </w:tc>
      </w:tr>
      <w:tr>
        <w:tc>
          <w:tcPr>
            <w:tcW w:type="dxa" w:w="700"/>
          </w:tcPr>
          <w:p>
            <w:pPr>
              <w:spacing w:after="40" w:line="247" w:lineRule="auto"/>
            </w:pPr>
            <w:r>
              <w:rPr>
                <w:rFonts w:ascii="Aptos" w:hAnsi="Aptos"/>
                <w:sz w:val="17"/>
              </w:rPr>
              <w:t>29</w:t>
            </w:r>
          </w:p>
        </w:tc>
        <w:tc>
          <w:tcPr>
            <w:tcW w:type="dxa" w:w="2800"/>
          </w:tcPr>
          <w:p>
            <w:pPr>
              <w:spacing w:after="40" w:line="247" w:lineRule="auto"/>
            </w:pPr>
            <w:r>
              <w:rPr>
                <w:rFonts w:ascii="Aptos" w:hAnsi="Aptos"/>
                <w:sz w:val="17"/>
              </w:rPr>
              <w:t>Retroactive Payroll and Arrears</w:t>
            </w:r>
          </w:p>
        </w:tc>
        <w:tc>
          <w:tcPr>
            <w:tcW w:type="dxa" w:w="5860"/>
          </w:tcPr>
          <w:p>
            <w:pPr>
              <w:spacing w:after="40" w:line="247" w:lineRule="auto"/>
            </w:pPr>
            <w:r>
              <w:rPr>
                <w:rFonts w:ascii="Aptos" w:hAnsi="Aptos"/>
                <w:sz w:val="17"/>
              </w:rPr>
              <w:t>Backdated changes, affected periods, differences, tax recalculation and adjustment lines.</w:t>
            </w:r>
          </w:p>
        </w:tc>
      </w:tr>
      <w:tr>
        <w:tc>
          <w:tcPr>
            <w:tcW w:type="dxa" w:w="700"/>
            <w:shd w:fill="FAFCFD"/>
          </w:tcPr>
          <w:p>
            <w:pPr>
              <w:spacing w:after="40" w:line="247" w:lineRule="auto"/>
            </w:pPr>
            <w:r>
              <w:rPr>
                <w:rFonts w:ascii="Aptos" w:hAnsi="Aptos"/>
                <w:sz w:val="17"/>
              </w:rPr>
              <w:t>30</w:t>
            </w:r>
          </w:p>
        </w:tc>
        <w:tc>
          <w:tcPr>
            <w:tcW w:type="dxa" w:w="2800"/>
            <w:shd w:fill="FAFCFD"/>
          </w:tcPr>
          <w:p>
            <w:pPr>
              <w:spacing w:after="40" w:line="247" w:lineRule="auto"/>
            </w:pPr>
            <w:r>
              <w:rPr>
                <w:rFonts w:ascii="Aptos" w:hAnsi="Aptos"/>
                <w:sz w:val="17"/>
              </w:rPr>
              <w:t>Off-Cycle and Supplementary Payroll</w:t>
            </w:r>
          </w:p>
        </w:tc>
        <w:tc>
          <w:tcPr>
            <w:tcW w:type="dxa" w:w="5860"/>
            <w:shd w:fill="FAFCFD"/>
          </w:tcPr>
          <w:p>
            <w:pPr>
              <w:spacing w:after="40" w:line="247" w:lineRule="auto"/>
            </w:pPr>
            <w:r>
              <w:rPr>
                <w:rFonts w:ascii="Aptos" w:hAnsi="Aptos"/>
                <w:sz w:val="17"/>
              </w:rPr>
              <w:t>Bonus, commission, emergency, correction, missed employee and termination runs.</w:t>
            </w:r>
          </w:p>
        </w:tc>
      </w:tr>
      <w:tr>
        <w:tc>
          <w:tcPr>
            <w:tcW w:type="dxa" w:w="700"/>
          </w:tcPr>
          <w:p>
            <w:pPr>
              <w:spacing w:after="40" w:line="247" w:lineRule="auto"/>
            </w:pPr>
            <w:r>
              <w:rPr>
                <w:rFonts w:ascii="Aptos" w:hAnsi="Aptos"/>
                <w:sz w:val="17"/>
              </w:rPr>
              <w:t>31</w:t>
            </w:r>
          </w:p>
        </w:tc>
        <w:tc>
          <w:tcPr>
            <w:tcW w:type="dxa" w:w="2800"/>
          </w:tcPr>
          <w:p>
            <w:pPr>
              <w:spacing w:after="40" w:line="247" w:lineRule="auto"/>
            </w:pPr>
            <w:r>
              <w:rPr>
                <w:rFonts w:ascii="Aptos" w:hAnsi="Aptos"/>
                <w:sz w:val="17"/>
              </w:rPr>
              <w:t>Final Pay and Separation Payroll</w:t>
            </w:r>
          </w:p>
        </w:tc>
        <w:tc>
          <w:tcPr>
            <w:tcW w:type="dxa" w:w="5860"/>
          </w:tcPr>
          <w:p>
            <w:pPr>
              <w:spacing w:after="40" w:line="247" w:lineRule="auto"/>
            </w:pPr>
            <w:r>
              <w:rPr>
                <w:rFonts w:ascii="Aptos" w:hAnsi="Aptos"/>
                <w:sz w:val="17"/>
              </w:rPr>
              <w:t>Salary, notice, leave, severance, gratuity, loans, assets, tax and final payslip.</w:t>
            </w:r>
          </w:p>
        </w:tc>
      </w:tr>
      <w:tr>
        <w:tc>
          <w:tcPr>
            <w:tcW w:type="dxa" w:w="700"/>
            <w:shd w:fill="FAFCFD"/>
          </w:tcPr>
          <w:p>
            <w:pPr>
              <w:spacing w:after="40" w:line="247" w:lineRule="auto"/>
            </w:pPr>
            <w:r>
              <w:rPr>
                <w:rFonts w:ascii="Aptos" w:hAnsi="Aptos"/>
                <w:sz w:val="17"/>
              </w:rPr>
              <w:t>32</w:t>
            </w:r>
          </w:p>
        </w:tc>
        <w:tc>
          <w:tcPr>
            <w:tcW w:type="dxa" w:w="2800"/>
            <w:shd w:fill="FAFCFD"/>
          </w:tcPr>
          <w:p>
            <w:pPr>
              <w:spacing w:after="40" w:line="247" w:lineRule="auto"/>
            </w:pPr>
            <w:r>
              <w:rPr>
                <w:rFonts w:ascii="Aptos" w:hAnsi="Aptos"/>
                <w:sz w:val="17"/>
              </w:rPr>
              <w:t>Payroll Reporting</w:t>
            </w:r>
          </w:p>
        </w:tc>
        <w:tc>
          <w:tcPr>
            <w:tcW w:type="dxa" w:w="5860"/>
            <w:shd w:fill="FAFCFD"/>
          </w:tcPr>
          <w:p>
            <w:pPr>
              <w:spacing w:after="40" w:line="247" w:lineRule="auto"/>
            </w:pPr>
            <w:r>
              <w:rPr>
                <w:rFonts w:ascii="Aptos" w:hAnsi="Aptos"/>
                <w:sz w:val="17"/>
              </w:rPr>
              <w:t>Registers, components, statutory, bank, cost, variance, historical and custom reports.</w:t>
            </w:r>
          </w:p>
        </w:tc>
      </w:tr>
      <w:tr>
        <w:tc>
          <w:tcPr>
            <w:tcW w:type="dxa" w:w="700"/>
          </w:tcPr>
          <w:p>
            <w:pPr>
              <w:spacing w:after="40" w:line="247" w:lineRule="auto"/>
            </w:pPr>
            <w:r>
              <w:rPr>
                <w:rFonts w:ascii="Aptos" w:hAnsi="Aptos"/>
                <w:sz w:val="17"/>
              </w:rPr>
              <w:t>33</w:t>
            </w:r>
          </w:p>
        </w:tc>
        <w:tc>
          <w:tcPr>
            <w:tcW w:type="dxa" w:w="2800"/>
          </w:tcPr>
          <w:p>
            <w:pPr>
              <w:spacing w:after="40" w:line="247" w:lineRule="auto"/>
            </w:pPr>
            <w:r>
              <w:rPr>
                <w:rFonts w:ascii="Aptos" w:hAnsi="Aptos"/>
                <w:sz w:val="17"/>
              </w:rPr>
              <w:t>Statutory Reporting and Filing</w:t>
            </w:r>
          </w:p>
        </w:tc>
        <w:tc>
          <w:tcPr>
            <w:tcW w:type="dxa" w:w="5860"/>
          </w:tcPr>
          <w:p>
            <w:pPr>
              <w:spacing w:after="40" w:line="247" w:lineRule="auto"/>
            </w:pPr>
            <w:r>
              <w:rPr>
                <w:rFonts w:ascii="Aptos" w:hAnsi="Aptos"/>
                <w:sz w:val="17"/>
              </w:rPr>
              <w:t>Returns, schedules, validation, approval, submission, correction and deadlines.</w:t>
            </w:r>
          </w:p>
        </w:tc>
      </w:tr>
      <w:tr>
        <w:tc>
          <w:tcPr>
            <w:tcW w:type="dxa" w:w="700"/>
            <w:shd w:fill="FAFCFD"/>
          </w:tcPr>
          <w:p>
            <w:pPr>
              <w:spacing w:after="40" w:line="247" w:lineRule="auto"/>
            </w:pPr>
            <w:r>
              <w:rPr>
                <w:rFonts w:ascii="Aptos" w:hAnsi="Aptos"/>
                <w:sz w:val="17"/>
              </w:rPr>
              <w:t>34</w:t>
            </w:r>
          </w:p>
        </w:tc>
        <w:tc>
          <w:tcPr>
            <w:tcW w:type="dxa" w:w="2800"/>
            <w:shd w:fill="FAFCFD"/>
          </w:tcPr>
          <w:p>
            <w:pPr>
              <w:spacing w:after="40" w:line="247" w:lineRule="auto"/>
            </w:pPr>
            <w:r>
              <w:rPr>
                <w:rFonts w:ascii="Aptos" w:hAnsi="Aptos"/>
                <w:sz w:val="17"/>
              </w:rPr>
              <w:t>Year-End Processing</w:t>
            </w:r>
          </w:p>
        </w:tc>
        <w:tc>
          <w:tcPr>
            <w:tcW w:type="dxa" w:w="5860"/>
            <w:shd w:fill="FAFCFD"/>
          </w:tcPr>
          <w:p>
            <w:pPr>
              <w:spacing w:after="40" w:line="247" w:lineRule="auto"/>
            </w:pPr>
            <w:r>
              <w:rPr>
                <w:rFonts w:ascii="Aptos" w:hAnsi="Aptos"/>
                <w:sz w:val="17"/>
              </w:rPr>
              <w:t>Annual reconciliation, certificates, carry-forwards, year locking and audit pack.</w:t>
            </w:r>
          </w:p>
        </w:tc>
      </w:tr>
      <w:tr>
        <w:tc>
          <w:tcPr>
            <w:tcW w:type="dxa" w:w="700"/>
          </w:tcPr>
          <w:p>
            <w:pPr>
              <w:spacing w:after="40" w:line="247" w:lineRule="auto"/>
            </w:pPr>
            <w:r>
              <w:rPr>
                <w:rFonts w:ascii="Aptos" w:hAnsi="Aptos"/>
                <w:sz w:val="17"/>
              </w:rPr>
              <w:t>35</w:t>
            </w:r>
          </w:p>
        </w:tc>
        <w:tc>
          <w:tcPr>
            <w:tcW w:type="dxa" w:w="2800"/>
          </w:tcPr>
          <w:p>
            <w:pPr>
              <w:spacing w:after="40" w:line="247" w:lineRule="auto"/>
            </w:pPr>
            <w:r>
              <w:rPr>
                <w:rFonts w:ascii="Aptos" w:hAnsi="Aptos"/>
                <w:sz w:val="17"/>
              </w:rPr>
              <w:t>Multi-Entity and Multi-Country Payroll</w:t>
            </w:r>
          </w:p>
        </w:tc>
        <w:tc>
          <w:tcPr>
            <w:tcW w:type="dxa" w:w="5860"/>
          </w:tcPr>
          <w:p>
            <w:pPr>
              <w:spacing w:after="40" w:line="247" w:lineRule="auto"/>
            </w:pPr>
            <w:r>
              <w:rPr>
                <w:rFonts w:ascii="Aptos" w:hAnsi="Aptos"/>
                <w:sz w:val="17"/>
              </w:rPr>
              <w:t>Multiple employers, currencies, jurisdictions, cross-border and consolidated reporting.</w:t>
            </w:r>
          </w:p>
        </w:tc>
      </w:tr>
      <w:tr>
        <w:tc>
          <w:tcPr>
            <w:tcW w:type="dxa" w:w="700"/>
            <w:shd w:fill="FAFCFD"/>
          </w:tcPr>
          <w:p>
            <w:pPr>
              <w:spacing w:after="40" w:line="247" w:lineRule="auto"/>
            </w:pPr>
            <w:r>
              <w:rPr>
                <w:rFonts w:ascii="Aptos" w:hAnsi="Aptos"/>
                <w:sz w:val="17"/>
              </w:rPr>
              <w:t>36</w:t>
            </w:r>
          </w:p>
        </w:tc>
        <w:tc>
          <w:tcPr>
            <w:tcW w:type="dxa" w:w="2800"/>
            <w:shd w:fill="FAFCFD"/>
          </w:tcPr>
          <w:p>
            <w:pPr>
              <w:spacing w:after="40" w:line="247" w:lineRule="auto"/>
            </w:pPr>
            <w:r>
              <w:rPr>
                <w:rFonts w:ascii="Aptos" w:hAnsi="Aptos"/>
                <w:sz w:val="17"/>
              </w:rPr>
              <w:t>Payroll Documents</w:t>
            </w:r>
          </w:p>
        </w:tc>
        <w:tc>
          <w:tcPr>
            <w:tcW w:type="dxa" w:w="5860"/>
            <w:shd w:fill="FAFCFD"/>
          </w:tcPr>
          <w:p>
            <w:pPr>
              <w:spacing w:after="40" w:line="247" w:lineRule="auto"/>
            </w:pPr>
            <w:r>
              <w:rPr>
                <w:rFonts w:ascii="Aptos" w:hAnsi="Aptos"/>
                <w:sz w:val="17"/>
              </w:rPr>
              <w:t>Payslips, registers, certificates, schedules, bank files, retention and restricted access.</w:t>
            </w:r>
          </w:p>
        </w:tc>
      </w:tr>
      <w:tr>
        <w:tc>
          <w:tcPr>
            <w:tcW w:type="dxa" w:w="700"/>
          </w:tcPr>
          <w:p>
            <w:pPr>
              <w:spacing w:after="40" w:line="247" w:lineRule="auto"/>
            </w:pPr>
            <w:r>
              <w:rPr>
                <w:rFonts w:ascii="Aptos" w:hAnsi="Aptos"/>
                <w:sz w:val="17"/>
              </w:rPr>
              <w:t>37</w:t>
            </w:r>
          </w:p>
        </w:tc>
        <w:tc>
          <w:tcPr>
            <w:tcW w:type="dxa" w:w="2800"/>
          </w:tcPr>
          <w:p>
            <w:pPr>
              <w:spacing w:after="40" w:line="247" w:lineRule="auto"/>
            </w:pPr>
            <w:r>
              <w:rPr>
                <w:rFonts w:ascii="Aptos" w:hAnsi="Aptos"/>
                <w:sz w:val="17"/>
              </w:rPr>
              <w:t>Payroll Workflow and Notifications</w:t>
            </w:r>
          </w:p>
        </w:tc>
        <w:tc>
          <w:tcPr>
            <w:tcW w:type="dxa" w:w="5860"/>
          </w:tcPr>
          <w:p>
            <w:pPr>
              <w:spacing w:after="40" w:line="247" w:lineRule="auto"/>
            </w:pPr>
            <w:r>
              <w:rPr>
                <w:rFonts w:ascii="Aptos" w:hAnsi="Aptos"/>
                <w:sz w:val="17"/>
              </w:rPr>
              <w:t>Cutoffs, missing inputs, approvals, failures, release and compliance alerts.</w:t>
            </w:r>
          </w:p>
        </w:tc>
      </w:tr>
      <w:tr>
        <w:tc>
          <w:tcPr>
            <w:tcW w:type="dxa" w:w="700"/>
            <w:shd w:fill="FAFCFD"/>
          </w:tcPr>
          <w:p>
            <w:pPr>
              <w:spacing w:after="40" w:line="247" w:lineRule="auto"/>
            </w:pPr>
            <w:r>
              <w:rPr>
                <w:rFonts w:ascii="Aptos" w:hAnsi="Aptos"/>
                <w:sz w:val="17"/>
              </w:rPr>
              <w:t>38</w:t>
            </w:r>
          </w:p>
        </w:tc>
        <w:tc>
          <w:tcPr>
            <w:tcW w:type="dxa" w:w="2800"/>
            <w:shd w:fill="FAFCFD"/>
          </w:tcPr>
          <w:p>
            <w:pPr>
              <w:spacing w:after="40" w:line="247" w:lineRule="auto"/>
            </w:pPr>
            <w:r>
              <w:rPr>
                <w:rFonts w:ascii="Aptos" w:hAnsi="Aptos"/>
                <w:sz w:val="17"/>
              </w:rPr>
              <w:t>Payroll Security and Privacy</w:t>
            </w:r>
          </w:p>
        </w:tc>
        <w:tc>
          <w:tcPr>
            <w:tcW w:type="dxa" w:w="5860"/>
            <w:shd w:fill="FAFCFD"/>
          </w:tcPr>
          <w:p>
            <w:pPr>
              <w:spacing w:after="40" w:line="247" w:lineRule="auto"/>
            </w:pPr>
            <w:r>
              <w:rPr>
                <w:rFonts w:ascii="Aptos" w:hAnsi="Aptos"/>
                <w:sz w:val="17"/>
              </w:rPr>
              <w:t>Roles, scope, masking, step-up authentication, exports and access reviews.</w:t>
            </w:r>
          </w:p>
        </w:tc>
      </w:tr>
      <w:tr>
        <w:tc>
          <w:tcPr>
            <w:tcW w:type="dxa" w:w="700"/>
          </w:tcPr>
          <w:p>
            <w:pPr>
              <w:spacing w:after="40" w:line="247" w:lineRule="auto"/>
            </w:pPr>
            <w:r>
              <w:rPr>
                <w:rFonts w:ascii="Aptos" w:hAnsi="Aptos"/>
                <w:sz w:val="17"/>
              </w:rPr>
              <w:t>39</w:t>
            </w:r>
          </w:p>
        </w:tc>
        <w:tc>
          <w:tcPr>
            <w:tcW w:type="dxa" w:w="2800"/>
          </w:tcPr>
          <w:p>
            <w:pPr>
              <w:spacing w:after="40" w:line="247" w:lineRule="auto"/>
            </w:pPr>
            <w:r>
              <w:rPr>
                <w:rFonts w:ascii="Aptos" w:hAnsi="Aptos"/>
                <w:sz w:val="17"/>
              </w:rPr>
              <w:t>Payroll Audit</w:t>
            </w:r>
          </w:p>
        </w:tc>
        <w:tc>
          <w:tcPr>
            <w:tcW w:type="dxa" w:w="5860"/>
          </w:tcPr>
          <w:p>
            <w:pPr>
              <w:spacing w:after="40" w:line="247" w:lineRule="auto"/>
            </w:pPr>
            <w:r>
              <w:rPr>
                <w:rFonts w:ascii="Aptos" w:hAnsi="Aptos"/>
                <w:sz w:val="17"/>
              </w:rPr>
              <w:t>Views, changes, calculations, approvals, payments, downloads, reopenings and reasons.</w:t>
            </w:r>
          </w:p>
        </w:tc>
      </w:tr>
      <w:tr>
        <w:tc>
          <w:tcPr>
            <w:tcW w:type="dxa" w:w="700"/>
            <w:shd w:fill="FAFCFD"/>
          </w:tcPr>
          <w:p>
            <w:pPr>
              <w:spacing w:after="40" w:line="247" w:lineRule="auto"/>
            </w:pPr>
            <w:r>
              <w:rPr>
                <w:rFonts w:ascii="Aptos" w:hAnsi="Aptos"/>
                <w:sz w:val="17"/>
              </w:rPr>
              <w:t>40</w:t>
            </w:r>
          </w:p>
        </w:tc>
        <w:tc>
          <w:tcPr>
            <w:tcW w:type="dxa" w:w="2800"/>
            <w:shd w:fill="FAFCFD"/>
          </w:tcPr>
          <w:p>
            <w:pPr>
              <w:spacing w:after="40" w:line="247" w:lineRule="auto"/>
            </w:pPr>
            <w:r>
              <w:rPr>
                <w:rFonts w:ascii="Aptos" w:hAnsi="Aptos"/>
                <w:sz w:val="17"/>
              </w:rPr>
              <w:t>Payroll Integrations</w:t>
            </w:r>
          </w:p>
        </w:tc>
        <w:tc>
          <w:tcPr>
            <w:tcW w:type="dxa" w:w="5860"/>
            <w:shd w:fill="FAFCFD"/>
          </w:tcPr>
          <w:p>
            <w:pPr>
              <w:spacing w:after="40" w:line="247" w:lineRule="auto"/>
            </w:pPr>
            <w:r>
              <w:rPr>
                <w:rFonts w:ascii="Aptos" w:hAnsi="Aptos"/>
                <w:sz w:val="17"/>
              </w:rPr>
              <w:t>HR, time, leave, banking, accounting, authorities, benefits, lending and events.</w:t>
            </w:r>
          </w:p>
        </w:tc>
      </w:tr>
      <w:tr>
        <w:tc>
          <w:tcPr>
            <w:tcW w:type="dxa" w:w="700"/>
          </w:tcPr>
          <w:p>
            <w:pPr>
              <w:spacing w:after="40" w:line="247" w:lineRule="auto"/>
            </w:pPr>
            <w:r>
              <w:rPr>
                <w:rFonts w:ascii="Aptos" w:hAnsi="Aptos"/>
                <w:sz w:val="17"/>
              </w:rPr>
              <w:t>41</w:t>
            </w:r>
          </w:p>
        </w:tc>
        <w:tc>
          <w:tcPr>
            <w:tcW w:type="dxa" w:w="2800"/>
          </w:tcPr>
          <w:p>
            <w:pPr>
              <w:spacing w:after="40" w:line="247" w:lineRule="auto"/>
            </w:pPr>
            <w:r>
              <w:rPr>
                <w:rFonts w:ascii="Aptos" w:hAnsi="Aptos"/>
                <w:sz w:val="17"/>
              </w:rPr>
              <w:t>Payroll Data Import and Migration</w:t>
            </w:r>
          </w:p>
        </w:tc>
        <w:tc>
          <w:tcPr>
            <w:tcW w:type="dxa" w:w="5860"/>
          </w:tcPr>
          <w:p>
            <w:pPr>
              <w:spacing w:after="40" w:line="247" w:lineRule="auto"/>
            </w:pPr>
            <w:r>
              <w:rPr>
                <w:rFonts w:ascii="Aptos" w:hAnsi="Aptos"/>
                <w:sz w:val="17"/>
              </w:rPr>
              <w:t>Profiles, salary, balances, history, payslips, validation and reconciliation.</w:t>
            </w:r>
          </w:p>
        </w:tc>
      </w:tr>
      <w:tr>
        <w:tc>
          <w:tcPr>
            <w:tcW w:type="dxa" w:w="700"/>
            <w:shd w:fill="FAFCFD"/>
          </w:tcPr>
          <w:p>
            <w:pPr>
              <w:spacing w:after="40" w:line="247" w:lineRule="auto"/>
            </w:pPr>
            <w:r>
              <w:rPr>
                <w:rFonts w:ascii="Aptos" w:hAnsi="Aptos"/>
                <w:sz w:val="17"/>
              </w:rPr>
              <w:t>42</w:t>
            </w:r>
          </w:p>
        </w:tc>
        <w:tc>
          <w:tcPr>
            <w:tcW w:type="dxa" w:w="2800"/>
            <w:shd w:fill="FAFCFD"/>
          </w:tcPr>
          <w:p>
            <w:pPr>
              <w:spacing w:after="40" w:line="247" w:lineRule="auto"/>
            </w:pPr>
            <w:r>
              <w:rPr>
                <w:rFonts w:ascii="Aptos" w:hAnsi="Aptos"/>
                <w:sz w:val="17"/>
              </w:rPr>
              <w:t>Payroll Configuration</w:t>
            </w:r>
          </w:p>
        </w:tc>
        <w:tc>
          <w:tcPr>
            <w:tcW w:type="dxa" w:w="5860"/>
            <w:shd w:fill="FAFCFD"/>
          </w:tcPr>
          <w:p>
            <w:pPr>
              <w:spacing w:after="40" w:line="247" w:lineRule="auto"/>
            </w:pPr>
            <w:r>
              <w:rPr>
                <w:rFonts w:ascii="Aptos" w:hAnsi="Aptos"/>
                <w:sz w:val="17"/>
              </w:rPr>
              <w:t>Components, formulas, tax, contributions, rounding, formats, mappings and templates.</w:t>
            </w:r>
          </w:p>
        </w:tc>
      </w:tr>
      <w:tr>
        <w:tc>
          <w:tcPr>
            <w:tcW w:type="dxa" w:w="700"/>
          </w:tcPr>
          <w:p>
            <w:pPr>
              <w:spacing w:after="40" w:line="247" w:lineRule="auto"/>
            </w:pPr>
            <w:r>
              <w:rPr>
                <w:rFonts w:ascii="Aptos" w:hAnsi="Aptos"/>
                <w:sz w:val="17"/>
              </w:rPr>
              <w:t>43</w:t>
            </w:r>
          </w:p>
        </w:tc>
        <w:tc>
          <w:tcPr>
            <w:tcW w:type="dxa" w:w="2800"/>
          </w:tcPr>
          <w:p>
            <w:pPr>
              <w:spacing w:after="40" w:line="247" w:lineRule="auto"/>
            </w:pPr>
            <w:r>
              <w:rPr>
                <w:rFonts w:ascii="Aptos" w:hAnsi="Aptos"/>
                <w:sz w:val="17"/>
              </w:rPr>
              <w:t>Payroll Operations and Recovery</w:t>
            </w:r>
          </w:p>
        </w:tc>
        <w:tc>
          <w:tcPr>
            <w:tcW w:type="dxa" w:w="5860"/>
          </w:tcPr>
          <w:p>
            <w:pPr>
              <w:spacing w:after="40" w:line="247" w:lineRule="auto"/>
            </w:pPr>
            <w:r>
              <w:rPr>
                <w:rFonts w:ascii="Aptos" w:hAnsi="Aptos"/>
                <w:sz w:val="17"/>
              </w:rPr>
              <w:t>Job monitoring, retries, checkpoints, backups, disaster recovery and runbooks.</w:t>
            </w:r>
          </w:p>
        </w:tc>
      </w:tr>
    </w:tbl>
    <w:p>
      <w:pPr>
        <w:pStyle w:val="Heading2"/>
      </w:pPr>
      <w:r>
        <w:t>J.1 Required historical payroll behaviour</w:t>
      </w:r>
    </w:p>
    <w:p>
      <w:pPr>
        <w:pStyle w:val="ListBullet"/>
      </w:pPr>
      <w:r>
        <w:t>Released payslips remain retrievable for every retained historical period.</w:t>
      </w:r>
    </w:p>
    <w:p>
      <w:pPr>
        <w:pStyle w:val="ListBullet"/>
      </w:pPr>
      <w:r>
        <w:t>The exact salary components, tax configuration, contribution rules and calculation version used remain visible.</w:t>
      </w:r>
    </w:p>
    <w:p>
      <w:pPr>
        <w:pStyle w:val="ListBullet"/>
      </w:pPr>
      <w:r>
        <w:t>Corrected payslips create linked versions; they never silently overwrite the original.</w:t>
      </w:r>
    </w:p>
    <w:p>
      <w:pPr>
        <w:pStyle w:val="ListBullet"/>
      </w:pPr>
      <w:r>
        <w:t>Authorized users can view generation, approval, payment, delivery, viewing and resend history.</w:t>
      </w:r>
    </w:p>
    <w:p>
      <w:pPr>
        <w:pStyle w:val="ListBullet"/>
      </w:pPr>
      <w:r>
        <w:t>Historical payroll is not recalculated using current tax or contribution rules.</w:t>
      </w:r>
    </w:p>
    <w:p>
      <w:pPr>
        <w:pStyle w:val="Heading1"/>
      </w:pPr>
      <w:r>
        <w:t>K. Zambia Country Configuration Pack</w:t>
      </w:r>
    </w:p>
    <w:p>
      <w:r>
        <w:t>Zambia is the first fully supported operating configuration. Zambia-specific values are maintained as approved, versioned configuration rather than source-code constants.</w:t>
      </w:r>
    </w:p>
    <w:tbl>
      <w:tblPr>
        <w:tblStyle w:val="TableGrid"/>
        <w:tblW w:type="dxa" w:w="9360"/>
        <w:jc w:val="left"/>
        <w:tblLayout w:type="fixed"/>
        <w:tblLook w:firstColumn="1" w:firstRow="1" w:lastColumn="0" w:lastRow="0" w:noHBand="0" w:noVBand="1" w:val="04A0"/>
      </w:tblPr>
      <w:tblGrid>
        <w:gridCol w:w="2600"/>
        <w:gridCol w:w="6760"/>
      </w:tblGrid>
      <w:tr>
        <w:trPr>
          <w:tblHeader w:val="true"/>
        </w:trPr>
        <w:tc>
          <w:tcPr>
            <w:tcW w:type="dxa" w:w="2600"/>
            <w:tcMar>
              <w:top w:w="80" w:type="dxa"/>
              <w:start w:w="120" w:type="dxa"/>
              <w:bottom w:w="80" w:type="dxa"/>
              <w:end w:w="120" w:type="dxa"/>
            </w:tcMar>
            <w:vAlign w:val="center"/>
            <w:shd w:fill="1F4E78"/>
          </w:tcPr>
          <w:p>
            <w:pPr>
              <w:spacing w:after="40" w:line="247" w:lineRule="auto"/>
            </w:pPr>
            <w:r>
              <w:rPr>
                <w:rFonts w:ascii="Aptos" w:hAnsi="Aptos"/>
                <w:b/>
                <w:color w:val="FFFFFF"/>
                <w:sz w:val="17"/>
              </w:rPr>
              <w:t>Configuration area</w:t>
            </w:r>
          </w:p>
        </w:tc>
        <w:tc>
          <w:tcPr>
            <w:tcW w:type="dxa" w:w="6760"/>
            <w:tcMar>
              <w:top w:w="80" w:type="dxa"/>
              <w:start w:w="120" w:type="dxa"/>
              <w:bottom w:w="80" w:type="dxa"/>
              <w:end w:w="120" w:type="dxa"/>
            </w:tcMar>
            <w:vAlign w:val="center"/>
            <w:shd w:fill="1F4E78"/>
          </w:tcPr>
          <w:p>
            <w:pPr>
              <w:spacing w:after="40" w:line="247" w:lineRule="auto"/>
            </w:pPr>
            <w:r>
              <w:rPr>
                <w:rFonts w:ascii="Aptos" w:hAnsi="Aptos"/>
                <w:b/>
                <w:color w:val="FFFFFF"/>
                <w:sz w:val="17"/>
              </w:rPr>
              <w:t>Required coverage</w:t>
            </w:r>
          </w:p>
        </w:tc>
      </w:tr>
      <w:tr>
        <w:tc>
          <w:tcPr>
            <w:tcW w:type="dxa" w:w="2600"/>
          </w:tcPr>
          <w:p>
            <w:pPr>
              <w:spacing w:after="40" w:line="247" w:lineRule="auto"/>
            </w:pPr>
            <w:r>
              <w:rPr>
                <w:rFonts w:ascii="Aptos" w:hAnsi="Aptos"/>
                <w:sz w:val="17"/>
              </w:rPr>
              <w:t>Organization identity</w:t>
            </w:r>
          </w:p>
        </w:tc>
        <w:tc>
          <w:tcPr>
            <w:tcW w:type="dxa" w:w="6760"/>
          </w:tcPr>
          <w:p>
            <w:pPr>
              <w:spacing w:after="40" w:line="247" w:lineRule="auto"/>
            </w:pPr>
            <w:r>
              <w:rPr>
                <w:rFonts w:ascii="Aptos" w:hAnsi="Aptos"/>
                <w:sz w:val="17"/>
              </w:rPr>
              <w:t>Registered name, trading name, PACRA number, TPIN, NAPSA, NHIMA and WCFCB employer references.</w:t>
            </w:r>
          </w:p>
        </w:tc>
      </w:tr>
      <w:tr>
        <w:tc>
          <w:tcPr>
            <w:tcW w:type="dxa" w:w="2600"/>
            <w:shd w:fill="FAFCFD"/>
          </w:tcPr>
          <w:p>
            <w:pPr>
              <w:spacing w:after="40" w:line="247" w:lineRule="auto"/>
            </w:pPr>
            <w:r>
              <w:rPr>
                <w:rFonts w:ascii="Aptos" w:hAnsi="Aptos"/>
                <w:sz w:val="17"/>
              </w:rPr>
              <w:t>Employee identity</w:t>
            </w:r>
          </w:p>
        </w:tc>
        <w:tc>
          <w:tcPr>
            <w:tcW w:type="dxa" w:w="6760"/>
            <w:shd w:fill="FAFCFD"/>
          </w:tcPr>
          <w:p>
            <w:pPr>
              <w:spacing w:after="40" w:line="247" w:lineRule="auto"/>
            </w:pPr>
            <w:r>
              <w:rPr>
                <w:rFonts w:ascii="Aptos" w:hAnsi="Aptos"/>
                <w:sz w:val="17"/>
              </w:rPr>
              <w:t>NRC or approved alternative, TPIN, NAPSA, NHIMA, nationality, residency and worker category.</w:t>
            </w:r>
          </w:p>
        </w:tc>
      </w:tr>
      <w:tr>
        <w:tc>
          <w:tcPr>
            <w:tcW w:type="dxa" w:w="2600"/>
          </w:tcPr>
          <w:p>
            <w:pPr>
              <w:spacing w:after="40" w:line="247" w:lineRule="auto"/>
            </w:pPr>
            <w:r>
              <w:rPr>
                <w:rFonts w:ascii="Aptos" w:hAnsi="Aptos"/>
                <w:sz w:val="17"/>
              </w:rPr>
              <w:t>Geography</w:t>
            </w:r>
          </w:p>
        </w:tc>
        <w:tc>
          <w:tcPr>
            <w:tcW w:type="dxa" w:w="6760"/>
          </w:tcPr>
          <w:p>
            <w:pPr>
              <w:spacing w:after="40" w:line="247" w:lineRule="auto"/>
            </w:pPr>
            <w:r>
              <w:rPr>
                <w:rFonts w:ascii="Aptos" w:hAnsi="Aptos"/>
                <w:sz w:val="17"/>
              </w:rPr>
              <w:t>Province, district, town, branch, work location and Zambia address conventions.</w:t>
            </w:r>
          </w:p>
        </w:tc>
      </w:tr>
      <w:tr>
        <w:tc>
          <w:tcPr>
            <w:tcW w:type="dxa" w:w="2600"/>
            <w:shd w:fill="FAFCFD"/>
          </w:tcPr>
          <w:p>
            <w:pPr>
              <w:spacing w:after="40" w:line="247" w:lineRule="auto"/>
            </w:pPr>
            <w:r>
              <w:rPr>
                <w:rFonts w:ascii="Aptos" w:hAnsi="Aptos"/>
                <w:sz w:val="17"/>
              </w:rPr>
              <w:t>Currency and payment</w:t>
            </w:r>
          </w:p>
        </w:tc>
        <w:tc>
          <w:tcPr>
            <w:tcW w:type="dxa" w:w="6760"/>
            <w:shd w:fill="FAFCFD"/>
          </w:tcPr>
          <w:p>
            <w:pPr>
              <w:spacing w:after="40" w:line="247" w:lineRule="auto"/>
            </w:pPr>
            <w:r>
              <w:rPr>
                <w:rFonts w:ascii="Aptos" w:hAnsi="Aptos"/>
                <w:sz w:val="17"/>
              </w:rPr>
              <w:t>ZMW display, local banks, mobile money and approved payment-file formats.</w:t>
            </w:r>
          </w:p>
        </w:tc>
      </w:tr>
      <w:tr>
        <w:tc>
          <w:tcPr>
            <w:tcW w:type="dxa" w:w="2600"/>
          </w:tcPr>
          <w:p>
            <w:pPr>
              <w:spacing w:after="40" w:line="247" w:lineRule="auto"/>
            </w:pPr>
            <w:r>
              <w:rPr>
                <w:rFonts w:ascii="Aptos" w:hAnsi="Aptos"/>
                <w:sz w:val="17"/>
              </w:rPr>
              <w:t>PAYE</w:t>
            </w:r>
          </w:p>
        </w:tc>
        <w:tc>
          <w:tcPr>
            <w:tcW w:type="dxa" w:w="6760"/>
          </w:tcPr>
          <w:p>
            <w:pPr>
              <w:spacing w:after="40" w:line="247" w:lineRule="auto"/>
            </w:pPr>
            <w:r>
              <w:rPr>
                <w:rFonts w:ascii="Aptos" w:hAnsi="Aptos"/>
                <w:sz w:val="17"/>
              </w:rPr>
              <w:t>Effective-dated tax year, slabs, taxable components, reliefs, formulas, returns and reconciliation.</w:t>
            </w:r>
          </w:p>
        </w:tc>
      </w:tr>
      <w:tr>
        <w:tc>
          <w:tcPr>
            <w:tcW w:type="dxa" w:w="2600"/>
            <w:shd w:fill="FAFCFD"/>
          </w:tcPr>
          <w:p>
            <w:pPr>
              <w:spacing w:after="40" w:line="247" w:lineRule="auto"/>
            </w:pPr>
            <w:r>
              <w:rPr>
                <w:rFonts w:ascii="Aptos" w:hAnsi="Aptos"/>
                <w:sz w:val="17"/>
              </w:rPr>
              <w:t>NAPSA</w:t>
            </w:r>
          </w:p>
        </w:tc>
        <w:tc>
          <w:tcPr>
            <w:tcW w:type="dxa" w:w="6760"/>
            <w:shd w:fill="FAFCFD"/>
          </w:tcPr>
          <w:p>
            <w:pPr>
              <w:spacing w:after="40" w:line="247" w:lineRule="auto"/>
            </w:pPr>
            <w:r>
              <w:rPr>
                <w:rFonts w:ascii="Aptos" w:hAnsi="Aptos"/>
                <w:sz w:val="17"/>
              </w:rPr>
              <w:t>Employee and employer contribution configuration, ceilings, schedules and reconciliation.</w:t>
            </w:r>
          </w:p>
        </w:tc>
      </w:tr>
      <w:tr>
        <w:tc>
          <w:tcPr>
            <w:tcW w:type="dxa" w:w="2600"/>
          </w:tcPr>
          <w:p>
            <w:pPr>
              <w:spacing w:after="40" w:line="247" w:lineRule="auto"/>
            </w:pPr>
            <w:r>
              <w:rPr>
                <w:rFonts w:ascii="Aptos" w:hAnsi="Aptos"/>
                <w:sz w:val="17"/>
              </w:rPr>
              <w:t>NHIMA</w:t>
            </w:r>
          </w:p>
        </w:tc>
        <w:tc>
          <w:tcPr>
            <w:tcW w:type="dxa" w:w="6760"/>
          </w:tcPr>
          <w:p>
            <w:pPr>
              <w:spacing w:after="40" w:line="247" w:lineRule="auto"/>
            </w:pPr>
            <w:r>
              <w:rPr>
                <w:rFonts w:ascii="Aptos" w:hAnsi="Aptos"/>
                <w:sz w:val="17"/>
              </w:rPr>
              <w:t>Employee and employer contribution configuration, schedules and reconciliation.</w:t>
            </w:r>
          </w:p>
        </w:tc>
      </w:tr>
      <w:tr>
        <w:tc>
          <w:tcPr>
            <w:tcW w:type="dxa" w:w="2600"/>
            <w:shd w:fill="FAFCFD"/>
          </w:tcPr>
          <w:p>
            <w:pPr>
              <w:spacing w:after="40" w:line="247" w:lineRule="auto"/>
            </w:pPr>
            <w:r>
              <w:rPr>
                <w:rFonts w:ascii="Aptos" w:hAnsi="Aptos"/>
                <w:sz w:val="17"/>
              </w:rPr>
              <w:t>Workers compensation</w:t>
            </w:r>
          </w:p>
        </w:tc>
        <w:tc>
          <w:tcPr>
            <w:tcW w:type="dxa" w:w="6760"/>
            <w:shd w:fill="FAFCFD"/>
          </w:tcPr>
          <w:p>
            <w:pPr>
              <w:spacing w:after="40" w:line="247" w:lineRule="auto"/>
            </w:pPr>
            <w:r>
              <w:rPr>
                <w:rFonts w:ascii="Aptos" w:hAnsi="Aptos"/>
                <w:sz w:val="17"/>
              </w:rPr>
              <w:t>Employer, branch, business classification, earnings schedules and reporting references.</w:t>
            </w:r>
          </w:p>
        </w:tc>
      </w:tr>
      <w:tr>
        <w:tc>
          <w:tcPr>
            <w:tcW w:type="dxa" w:w="2600"/>
          </w:tcPr>
          <w:p>
            <w:pPr>
              <w:spacing w:after="40" w:line="247" w:lineRule="auto"/>
            </w:pPr>
            <w:r>
              <w:rPr>
                <w:rFonts w:ascii="Aptos" w:hAnsi="Aptos"/>
                <w:sz w:val="17"/>
              </w:rPr>
              <w:t>Employment rules</w:t>
            </w:r>
          </w:p>
        </w:tc>
        <w:tc>
          <w:tcPr>
            <w:tcW w:type="dxa" w:w="6760"/>
          </w:tcPr>
          <w:p>
            <w:pPr>
              <w:spacing w:after="40" w:line="247" w:lineRule="auto"/>
            </w:pPr>
            <w:r>
              <w:rPr>
                <w:rFonts w:ascii="Aptos" w:hAnsi="Aptos"/>
                <w:sz w:val="17"/>
              </w:rPr>
              <w:t>Configurable contracts, probation, notice, leave, overtime, gratuity and separation rules.</w:t>
            </w:r>
          </w:p>
        </w:tc>
      </w:tr>
      <w:tr>
        <w:tc>
          <w:tcPr>
            <w:tcW w:type="dxa" w:w="2600"/>
            <w:shd w:fill="FAFCFD"/>
          </w:tcPr>
          <w:p>
            <w:pPr>
              <w:spacing w:after="40" w:line="247" w:lineRule="auto"/>
            </w:pPr>
            <w:r>
              <w:rPr>
                <w:rFonts w:ascii="Aptos" w:hAnsi="Aptos"/>
                <w:sz w:val="17"/>
              </w:rPr>
              <w:t>Local usability</w:t>
            </w:r>
          </w:p>
        </w:tc>
        <w:tc>
          <w:tcPr>
            <w:tcW w:type="dxa" w:w="6760"/>
            <w:shd w:fill="FAFCFD"/>
          </w:tcPr>
          <w:p>
            <w:pPr>
              <w:spacing w:after="40" w:line="247" w:lineRule="auto"/>
            </w:pPr>
            <w:r>
              <w:rPr>
                <w:rFonts w:ascii="Aptos" w:hAnsi="Aptos"/>
                <w:sz w:val="17"/>
              </w:rPr>
              <w:t>Plain language, familiar terminology, +260 telephone handling, low bandwidth, mobile-first self-service and PDF outputs.</w:t>
            </w:r>
          </w:p>
        </w:tc>
      </w:tr>
    </w:tbl>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D9EAF7"/>
          </w:tcPr>
          <w:p>
            <w:pPr>
              <w:spacing w:after="40" w:line="247" w:lineRule="auto"/>
            </w:pPr>
            <w:r>
              <w:rPr>
                <w:rFonts w:ascii="Aptos" w:hAnsi="Aptos"/>
                <w:b/>
                <w:color w:val="17365D"/>
                <w:sz w:val="17"/>
              </w:rPr>
              <w:t xml:space="preserve">Control: </w:t>
            </w:r>
            <w:r>
              <w:rPr>
                <w:rFonts w:ascii="Aptos" w:hAnsi="Aptos"/>
                <w:sz w:val="17"/>
              </w:rPr>
              <w:t>A country-pack update must carry an effective date, approval, test evidence and impact analysis. Historical results continue using the configuration effective during the historical period.</w:t>
            </w:r>
          </w:p>
        </w:tc>
      </w:tr>
    </w:tbl>
    <w:p>
      <w:pPr>
        <w:spacing w:after="0"/>
      </w:pPr>
    </w:p>
    <w:p>
      <w:pPr>
        <w:pStyle w:val="Heading1"/>
      </w:pPr>
      <w:r>
        <w:t>L. Integration Boundary</w:t>
      </w:r>
    </w:p>
    <w:tbl>
      <w:tblPr>
        <w:tblStyle w:val="TableGrid"/>
        <w:tblW w:type="dxa" w:w="9360"/>
        <w:jc w:val="left"/>
        <w:tblLayout w:type="fixed"/>
        <w:tblLook w:firstColumn="1" w:firstRow="1" w:lastColumn="0" w:lastRow="0" w:noHBand="0" w:noVBand="1" w:val="04A0"/>
      </w:tblPr>
      <w:tblGrid>
        <w:gridCol w:w="2700"/>
        <w:gridCol w:w="6660"/>
      </w:tblGrid>
      <w:tr>
        <w:trPr>
          <w:tblHeader w:val="true"/>
        </w:trPr>
        <w:tc>
          <w:tcPr>
            <w:tcW w:type="dxa" w:w="2700"/>
            <w:tcMar>
              <w:top w:w="80" w:type="dxa"/>
              <w:start w:w="120" w:type="dxa"/>
              <w:bottom w:w="80" w:type="dxa"/>
              <w:end w:w="120" w:type="dxa"/>
            </w:tcMar>
            <w:vAlign w:val="center"/>
            <w:shd w:fill="1F4E78"/>
          </w:tcPr>
          <w:p>
            <w:pPr>
              <w:spacing w:after="40" w:line="247" w:lineRule="auto"/>
            </w:pPr>
            <w:r>
              <w:rPr>
                <w:rFonts w:ascii="Aptos" w:hAnsi="Aptos"/>
                <w:b/>
                <w:color w:val="FFFFFF"/>
                <w:sz w:val="17"/>
              </w:rPr>
              <w:t>Connected area</w:t>
            </w:r>
          </w:p>
        </w:tc>
        <w:tc>
          <w:tcPr>
            <w:tcW w:type="dxa" w:w="6660"/>
            <w:tcMar>
              <w:top w:w="80" w:type="dxa"/>
              <w:start w:w="120" w:type="dxa"/>
              <w:bottom w:w="80" w:type="dxa"/>
              <w:end w:w="120" w:type="dxa"/>
            </w:tcMar>
            <w:vAlign w:val="center"/>
            <w:shd w:fill="1F4E78"/>
          </w:tcPr>
          <w:p>
            <w:pPr>
              <w:spacing w:after="40" w:line="247" w:lineRule="auto"/>
            </w:pPr>
            <w:r>
              <w:rPr>
                <w:rFonts w:ascii="Aptos" w:hAnsi="Aptos"/>
                <w:b/>
                <w:color w:val="FFFFFF"/>
                <w:sz w:val="17"/>
              </w:rPr>
              <w:t>HRM responsibility</w:t>
            </w:r>
          </w:p>
        </w:tc>
      </w:tr>
      <w:tr>
        <w:tc>
          <w:tcPr>
            <w:tcW w:type="dxa" w:w="2700"/>
          </w:tcPr>
          <w:p>
            <w:pPr>
              <w:spacing w:after="40" w:line="247" w:lineRule="auto"/>
            </w:pPr>
            <w:r>
              <w:rPr>
                <w:rFonts w:ascii="Aptos" w:hAnsi="Aptos"/>
                <w:sz w:val="17"/>
              </w:rPr>
              <w:t>Identity Provider</w:t>
            </w:r>
          </w:p>
        </w:tc>
        <w:tc>
          <w:tcPr>
            <w:tcW w:type="dxa" w:w="6660"/>
          </w:tcPr>
          <w:p>
            <w:pPr>
              <w:spacing w:after="40" w:line="247" w:lineRule="auto"/>
            </w:pPr>
            <w:r>
              <w:rPr>
                <w:rFonts w:ascii="Aptos" w:hAnsi="Aptos"/>
                <w:sz w:val="17"/>
              </w:rPr>
              <w:t>Reference authenticated identities; do not store passwords or make the IDP the employee master.</w:t>
            </w:r>
          </w:p>
        </w:tc>
      </w:tr>
      <w:tr>
        <w:tc>
          <w:tcPr>
            <w:tcW w:type="dxa" w:w="2700"/>
            <w:shd w:fill="FAFCFD"/>
          </w:tcPr>
          <w:p>
            <w:pPr>
              <w:spacing w:after="40" w:line="247" w:lineRule="auto"/>
            </w:pPr>
            <w:r>
              <w:rPr>
                <w:rFonts w:ascii="Aptos" w:hAnsi="Aptos"/>
                <w:sz w:val="17"/>
              </w:rPr>
              <w:t>Admin and Authorization</w:t>
            </w:r>
          </w:p>
        </w:tc>
        <w:tc>
          <w:tcPr>
            <w:tcW w:type="dxa" w:w="6660"/>
            <w:shd w:fill="FAFCFD"/>
          </w:tcPr>
          <w:p>
            <w:pPr>
              <w:spacing w:after="40" w:line="247" w:lineRule="auto"/>
            </w:pPr>
            <w:r>
              <w:rPr>
                <w:rFonts w:ascii="Aptos" w:hAnsi="Aptos"/>
                <w:sz w:val="17"/>
              </w:rPr>
              <w:t>Consume module entitlements, roles and scopes; publish employment lifecycle events.</w:t>
            </w:r>
          </w:p>
        </w:tc>
      </w:tr>
      <w:tr>
        <w:tc>
          <w:tcPr>
            <w:tcW w:type="dxa" w:w="2700"/>
          </w:tcPr>
          <w:p>
            <w:pPr>
              <w:spacing w:after="40" w:line="247" w:lineRule="auto"/>
            </w:pPr>
            <w:r>
              <w:rPr>
                <w:rFonts w:ascii="Aptos" w:hAnsi="Aptos"/>
                <w:sz w:val="17"/>
              </w:rPr>
              <w:t>Accounting</w:t>
            </w:r>
          </w:p>
        </w:tc>
        <w:tc>
          <w:tcPr>
            <w:tcW w:type="dxa" w:w="6660"/>
          </w:tcPr>
          <w:p>
            <w:pPr>
              <w:spacing w:after="40" w:line="247" w:lineRule="auto"/>
            </w:pPr>
            <w:r>
              <w:rPr>
                <w:rFonts w:ascii="Aptos" w:hAnsi="Aptos"/>
                <w:sz w:val="17"/>
              </w:rPr>
              <w:t>Provide approved journals, costing and employee-expense references; do not own the general ledger.</w:t>
            </w:r>
          </w:p>
        </w:tc>
      </w:tr>
      <w:tr>
        <w:tc>
          <w:tcPr>
            <w:tcW w:type="dxa" w:w="2700"/>
            <w:shd w:fill="FAFCFD"/>
          </w:tcPr>
          <w:p>
            <w:pPr>
              <w:spacing w:after="40" w:line="247" w:lineRule="auto"/>
            </w:pPr>
            <w:r>
              <w:rPr>
                <w:rFonts w:ascii="Aptos" w:hAnsi="Aptos"/>
                <w:sz w:val="17"/>
              </w:rPr>
              <w:t>Asset Management</w:t>
            </w:r>
          </w:p>
        </w:tc>
        <w:tc>
          <w:tcPr>
            <w:tcW w:type="dxa" w:w="6660"/>
            <w:shd w:fill="FAFCFD"/>
          </w:tcPr>
          <w:p>
            <w:pPr>
              <w:spacing w:after="40" w:line="247" w:lineRule="auto"/>
            </w:pPr>
            <w:r>
              <w:rPr>
                <w:rFonts w:ascii="Aptos" w:hAnsi="Aptos"/>
                <w:sz w:val="17"/>
              </w:rPr>
              <w:t>Coordinate allocation and clearance; the asset system owns the full asset register.</w:t>
            </w:r>
          </w:p>
        </w:tc>
      </w:tr>
      <w:tr>
        <w:tc>
          <w:tcPr>
            <w:tcW w:type="dxa" w:w="2700"/>
          </w:tcPr>
          <w:p>
            <w:pPr>
              <w:spacing w:after="40" w:line="247" w:lineRule="auto"/>
            </w:pPr>
            <w:r>
              <w:rPr>
                <w:rFonts w:ascii="Aptos" w:hAnsi="Aptos"/>
                <w:sz w:val="17"/>
              </w:rPr>
              <w:t>Lending</w:t>
            </w:r>
          </w:p>
        </w:tc>
        <w:tc>
          <w:tcPr>
            <w:tcW w:type="dxa" w:w="6660"/>
          </w:tcPr>
          <w:p>
            <w:pPr>
              <w:spacing w:after="40" w:line="247" w:lineRule="auto"/>
            </w:pPr>
            <w:r>
              <w:rPr>
                <w:rFonts w:ascii="Aptos" w:hAnsi="Aptos"/>
                <w:sz w:val="17"/>
              </w:rPr>
              <w:t>Exchange approved worker and payroll-deduction data under explicit scopes.</w:t>
            </w:r>
          </w:p>
        </w:tc>
      </w:tr>
      <w:tr>
        <w:tc>
          <w:tcPr>
            <w:tcW w:type="dxa" w:w="2700"/>
            <w:shd w:fill="FAFCFD"/>
          </w:tcPr>
          <w:p>
            <w:pPr>
              <w:spacing w:after="40" w:line="247" w:lineRule="auto"/>
            </w:pPr>
            <w:r>
              <w:rPr>
                <w:rFonts w:ascii="Aptos" w:hAnsi="Aptos"/>
                <w:sz w:val="17"/>
              </w:rPr>
              <w:t>Banks and mobile money</w:t>
            </w:r>
          </w:p>
        </w:tc>
        <w:tc>
          <w:tcPr>
            <w:tcW w:type="dxa" w:w="6660"/>
            <w:shd w:fill="FAFCFD"/>
          </w:tcPr>
          <w:p>
            <w:pPr>
              <w:spacing w:after="40" w:line="247" w:lineRule="auto"/>
            </w:pPr>
            <w:r>
              <w:rPr>
                <w:rFonts w:ascii="Aptos" w:hAnsi="Aptos"/>
                <w:sz w:val="17"/>
              </w:rPr>
              <w:t>Create authorized payment instructions and process responses and reconciliation.</w:t>
            </w:r>
          </w:p>
        </w:tc>
      </w:tr>
      <w:tr>
        <w:tc>
          <w:tcPr>
            <w:tcW w:type="dxa" w:w="2700"/>
          </w:tcPr>
          <w:p>
            <w:pPr>
              <w:spacing w:after="40" w:line="247" w:lineRule="auto"/>
            </w:pPr>
            <w:r>
              <w:rPr>
                <w:rFonts w:ascii="Aptos" w:hAnsi="Aptos"/>
                <w:sz w:val="17"/>
              </w:rPr>
              <w:t>Statutory authorities</w:t>
            </w:r>
          </w:p>
        </w:tc>
        <w:tc>
          <w:tcPr>
            <w:tcW w:type="dxa" w:w="6660"/>
          </w:tcPr>
          <w:p>
            <w:pPr>
              <w:spacing w:after="40" w:line="247" w:lineRule="auto"/>
            </w:pPr>
            <w:r>
              <w:rPr>
                <w:rFonts w:ascii="Aptos" w:hAnsi="Aptos"/>
                <w:sz w:val="17"/>
              </w:rPr>
              <w:t>Produce approved schedules, files and submission references.</w:t>
            </w:r>
          </w:p>
        </w:tc>
      </w:tr>
      <w:tr>
        <w:tc>
          <w:tcPr>
            <w:tcW w:type="dxa" w:w="2700"/>
            <w:shd w:fill="FAFCFD"/>
          </w:tcPr>
          <w:p>
            <w:pPr>
              <w:spacing w:after="40" w:line="247" w:lineRule="auto"/>
            </w:pPr>
            <w:r>
              <w:rPr>
                <w:rFonts w:ascii="Aptos" w:hAnsi="Aptos"/>
                <w:sz w:val="17"/>
              </w:rPr>
              <w:t>Analytics</w:t>
            </w:r>
          </w:p>
        </w:tc>
        <w:tc>
          <w:tcPr>
            <w:tcW w:type="dxa" w:w="6660"/>
            <w:shd w:fill="FAFCFD"/>
          </w:tcPr>
          <w:p>
            <w:pPr>
              <w:spacing w:after="40" w:line="247" w:lineRule="auto"/>
            </w:pPr>
            <w:r>
              <w:rPr>
                <w:rFonts w:ascii="Aptos" w:hAnsi="Aptos"/>
                <w:sz w:val="17"/>
              </w:rPr>
              <w:t>Provide governed operational data and events to an authorized reporting platform.</w:t>
            </w:r>
          </w:p>
        </w:tc>
      </w:tr>
      <w:tr>
        <w:tc>
          <w:tcPr>
            <w:tcW w:type="dxa" w:w="2700"/>
          </w:tcPr>
          <w:p>
            <w:pPr>
              <w:spacing w:after="40" w:line="247" w:lineRule="auto"/>
            </w:pPr>
            <w:r>
              <w:rPr>
                <w:rFonts w:ascii="Aptos" w:hAnsi="Aptos"/>
                <w:sz w:val="17"/>
              </w:rPr>
              <w:t>Third parties</w:t>
            </w:r>
          </w:p>
        </w:tc>
        <w:tc>
          <w:tcPr>
            <w:tcW w:type="dxa" w:w="6660"/>
          </w:tcPr>
          <w:p>
            <w:pPr>
              <w:spacing w:after="40" w:line="247" w:lineRule="auto"/>
            </w:pPr>
            <w:r>
              <w:rPr>
                <w:rFonts w:ascii="Aptos" w:hAnsi="Aptos"/>
                <w:sz w:val="17"/>
              </w:rPr>
              <w:t>Use documented APIs, events, webhooks, scopes, sandbox testing and production approval.</w:t>
            </w:r>
          </w:p>
        </w:tc>
      </w:tr>
    </w:tbl>
    <w:p>
      <w:r>
        <w:br w:type="page"/>
      </w:r>
    </w:p>
    <w:p>
      <w:pPr>
        <w:pStyle w:val="Heading2"/>
      </w:pPr>
      <w:r>
        <w:t>L.1 Enterprise Infrastructure Integration Model</w:t>
      </w:r>
    </w:p>
    <w:p>
      <w:pPr/>
      <w:r>
        <w:t>HRM remains the authoritative business module for workforce structures, worker and employment records, HR policies, workforce transactions, payroll results and HR audit evidence. Shared infrastructure remains outside HRM and is consumed through documented APIs, events and governed data products.</w:t>
      </w:r>
    </w:p>
    <w:p>
      <w:pPr/>
      <w:r>
        <w:t>The integration model must prevent duplication of identity, messaging, analytics, storage and observability platforms while preserving HRM-specific authorization, privacy, effective dating, audit and business controls.</w:t>
      </w:r>
    </w:p>
    <w:tbl>
      <w:tblPr>
        <w:tblStyle w:val="TableGrid"/>
        <w:tblW w:type="auto" w:w="0"/>
        <w:tblLayout w:type="autofit"/>
        <w:tblLook w:firstColumn="1" w:firstRow="1" w:lastColumn="0" w:lastRow="0" w:noHBand="0" w:noVBand="1" w:val="04A0"/>
      </w:tblPr>
      <w:tblGrid>
        <w:gridCol w:w="4795"/>
        <w:gridCol w:w="4795"/>
      </w:tblGrid>
      <w:tr>
        <w:tc>
          <w:tcPr>
            <w:tcW w:type="dxa" w:w="4795"/>
          </w:tcPr>
          <w:p>
            <w:r>
              <w:t>Connected platform</w:t>
            </w:r>
          </w:p>
        </w:tc>
        <w:tc>
          <w:tcPr>
            <w:tcW w:type="dxa" w:w="4795"/>
          </w:tcPr>
          <w:p>
            <w:r>
              <w:t>HRM boundary and responsibility</w:t>
            </w:r>
          </w:p>
        </w:tc>
      </w:tr>
      <w:tr>
        <w:tc>
          <w:tcPr>
            <w:tcW w:type="dxa" w:w="4795"/>
          </w:tcPr>
          <w:p>
            <w:r>
              <w:t>Identity provider (IDP)</w:t>
            </w:r>
          </w:p>
        </w:tc>
        <w:tc>
          <w:tcPr>
            <w:tcW w:type="dxa" w:w="4795"/>
          </w:tcPr>
          <w:p>
            <w:r>
              <w:t>The IDP authenticates people and owns credentials. HRM maps authenticated subjects to worker/person records, publishes joiner-mover-leaver events, and enforces HRM permissions and data scope.</w:t>
            </w:r>
          </w:p>
        </w:tc>
      </w:tr>
      <w:tr>
        <w:tc>
          <w:tcPr>
            <w:tcW w:type="dxa" w:w="4795"/>
          </w:tcPr>
          <w:p>
            <w:r>
              <w:t>Authorization and administration</w:t>
            </w:r>
          </w:p>
        </w:tc>
        <w:tc>
          <w:tcPr>
            <w:tcW w:type="dxa" w:w="4795"/>
          </w:tcPr>
          <w:p>
            <w:r>
              <w:t>The enterprise platform grants module entitlement and shared roles. HRM owns HR actions, record scope, sensitive-field controls, delegation and segregation of duties.</w:t>
            </w:r>
          </w:p>
        </w:tc>
      </w:tr>
      <w:tr>
        <w:tc>
          <w:tcPr>
            <w:tcW w:type="dxa" w:w="4795"/>
          </w:tcPr>
          <w:p>
            <w:r>
              <w:t>Notifications and communications</w:t>
            </w:r>
          </w:p>
        </w:tc>
        <w:tc>
          <w:tcPr>
            <w:tcW w:type="dxa" w:w="4795"/>
          </w:tcPr>
          <w:p>
            <w:r>
              <w:t>The communications layer owns channel delivery, provider routing, retries and delivery telemetry. HRM owns business triggers, recipients, confidentiality, approved template references and communication audit context.</w:t>
            </w:r>
          </w:p>
        </w:tc>
      </w:tr>
      <w:tr>
        <w:tc>
          <w:tcPr>
            <w:tcW w:type="dxa" w:w="4795"/>
          </w:tcPr>
          <w:p>
            <w:r>
              <w:t>Data lake, warehouse and BI</w:t>
            </w:r>
          </w:p>
        </w:tc>
        <w:tc>
          <w:tcPr>
            <w:tcW w:type="dxa" w:w="4795"/>
          </w:tcPr>
          <w:p>
            <w:r>
              <w:t>The analytics platform owns scalable analytical storage and cross-domain modelling. HRM publishes governed, documented and privacy-controlled workforce data products, change feeds and metric definitions.</w:t>
            </w:r>
          </w:p>
        </w:tc>
      </w:tr>
      <w:tr>
        <w:tc>
          <w:tcPr>
            <w:tcW w:type="dxa" w:w="4795"/>
          </w:tcPr>
          <w:p>
            <w:r>
              <w:t>API gateway and integration platform</w:t>
            </w:r>
          </w:p>
        </w:tc>
        <w:tc>
          <w:tcPr>
            <w:tcW w:type="dxa" w:w="4795"/>
          </w:tcPr>
          <w:p>
            <w:r>
              <w:t>The platform owns ingress, routing, certificates, quotas and shared connector operations. HRM owns its API contracts, scopes, idempotency, business validation, events and reconciliation.</w:t>
            </w:r>
          </w:p>
        </w:tc>
      </w:tr>
      <w:tr>
        <w:tc>
          <w:tcPr>
            <w:tcW w:type="dxa" w:w="4795"/>
          </w:tcPr>
          <w:p>
            <w:r>
              <w:t>Document and electronic-signature services</w:t>
            </w:r>
          </w:p>
        </w:tc>
        <w:tc>
          <w:tcPr>
            <w:tcW w:type="dxa" w:w="4795"/>
          </w:tcPr>
          <w:p>
            <w:r>
              <w:t>Shared services own binary storage, malware scanning and signature execution where provided. HRM owns document classification, metadata, employee-file association, access, retention and signature workflow.</w:t>
            </w:r>
          </w:p>
        </w:tc>
      </w:tr>
      <w:tr>
        <w:tc>
          <w:tcPr>
            <w:tcW w:type="dxa" w:w="4795"/>
          </w:tcPr>
          <w:p>
            <w:r>
              <w:t>Search platform</w:t>
            </w:r>
          </w:p>
        </w:tc>
        <w:tc>
          <w:tcPr>
            <w:tcW w:type="dxa" w:w="4795"/>
          </w:tcPr>
          <w:p>
            <w:r>
              <w:t>The platform provides indexing and retrieval infrastructure. HRM controls indexed fields, security trimming, freshness, deletion propagation and audit for sensitive results.</w:t>
            </w:r>
          </w:p>
        </w:tc>
      </w:tr>
      <w:tr>
        <w:tc>
          <w:tcPr>
            <w:tcW w:type="dxa" w:w="4795"/>
          </w:tcPr>
          <w:p>
            <w:r>
              <w:t>Observability and operations</w:t>
            </w:r>
          </w:p>
        </w:tc>
        <w:tc>
          <w:tcPr>
            <w:tcW w:type="dxa" w:w="4795"/>
          </w:tcPr>
          <w:p>
            <w:r>
              <w:t>The platform aggregates logs, metrics, traces and alerts. HRM emits correlation identifiers, business-control totals, privacy-safe telemetry and actionable health signals.</w:t>
            </w:r>
          </w:p>
        </w:tc>
      </w:tr>
      <w:tr>
        <w:tc>
          <w:tcPr>
            <w:tcW w:type="dxa" w:w="4795"/>
          </w:tcPr>
          <w:p>
            <w:r>
              <w:t>AI gateway and approved model services</w:t>
            </w:r>
          </w:p>
        </w:tc>
        <w:tc>
          <w:tcPr>
            <w:tcW w:type="dxa" w:w="4795"/>
          </w:tcPr>
          <w:p>
            <w:r>
              <w:t>The platform governs model access, safety and provider policy. HRM supplies permission-trimmed context, approved knowledge, human escalation, source traceability and sensitive-use audit.</w:t>
            </w:r>
          </w:p>
        </w:tc>
      </w:tr>
      <w:tr>
        <w:tc>
          <w:tcPr>
            <w:tcW w:type="dxa" w:w="4795"/>
          </w:tcPr>
          <w:p>
            <w:r>
              <w:t>Master/reference data services</w:t>
            </w:r>
          </w:p>
        </w:tc>
        <w:tc>
          <w:tcPr>
            <w:tcW w:type="dxa" w:w="4795"/>
          </w:tcPr>
          <w:p>
            <w:r>
              <w:t>Shared services may own common geography, currency and organization references. HRM owns workforce-specific meaning, effective-dated assignments and validation of HR transactions.</w:t>
            </w:r>
          </w:p>
        </w:tc>
      </w:tr>
    </w:tbl>
    <w:p>
      <w:pPr>
        <w:pStyle w:val="Heading2"/>
      </w:pPr>
      <w:r>
        <w:t>Required integration principles</w:t>
      </w:r>
    </w:p>
    <w:p>
      <w:pPr>
        <w:pStyle w:val="ListBullet"/>
      </w:pPr>
      <w:r>
        <w:t>One authoritative owner is declared for every shared data object.</w:t>
      </w:r>
    </w:p>
    <w:p>
      <w:pPr>
        <w:pStyle w:val="ListBullet"/>
      </w:pPr>
      <w:r>
        <w:t>HRM never stores user passwords or duplicates enterprise authentication.</w:t>
      </w:r>
    </w:p>
    <w:p>
      <w:pPr>
        <w:pStyle w:val="ListBullet"/>
      </w:pPr>
      <w:r>
        <w:t>Sensitive HR data is not exported merely because a platform connector exists; purpose, scope, minimization and retention must be approved.</w:t>
      </w:r>
    </w:p>
    <w:p>
      <w:pPr>
        <w:pStyle w:val="ListBullet"/>
      </w:pPr>
      <w:r>
        <w:t>Every integration supports tenant isolation, least privilege, correlation, audit, retry, reconciliation and versioned contracts.</w:t>
      </w:r>
    </w:p>
    <w:p>
      <w:pPr>
        <w:pStyle w:val="ListBullet"/>
      </w:pPr>
      <w:r>
        <w:t>Events carry stable identifiers and effective dates; consumers must not infer current truth from stale events.</w:t>
      </w:r>
    </w:p>
    <w:p>
      <w:pPr>
        <w:pStyle w:val="ListBullet"/>
      </w:pPr>
      <w:r>
        <w:t>Analytics feeds preserve historical truth and do not expose restricted medical, payroll, disciplinary or whistleblowing data without explicit authorization.</w:t>
      </w:r>
    </w:p>
    <w:p>
      <w:pPr>
        <w:pStyle w:val="ListBullet"/>
      </w:pPr>
      <w:r>
        <w:t>External platform failure must degrade predictably without corrupting HRM records or silently losing business actions.</w:t>
      </w:r>
    </w:p>
    <w:p>
      <w:pPr>
        <w:pStyle w:val="Heading1"/>
      </w:pPr>
      <w:r>
        <w:t>M. Documents Still Required After This Catalogue</w:t>
      </w:r>
    </w:p>
    <w:tbl>
      <w:tblPr>
        <w:tblStyle w:val="TableGrid"/>
        <w:tblW w:type="dxa" w:w="9360"/>
        <w:jc w:val="left"/>
        <w:tblLayout w:type="fixed"/>
        <w:tblLook w:firstColumn="1" w:firstRow="1" w:lastColumn="0" w:lastRow="0" w:noHBand="0" w:noVBand="1" w:val="04A0"/>
      </w:tblPr>
      <w:tblGrid>
        <w:gridCol w:w="3000"/>
        <w:gridCol w:w="4360"/>
        <w:gridCol w:w="2000"/>
      </w:tblGrid>
      <w:tr>
        <w:trPr>
          <w:tblHeader w:val="true"/>
        </w:trPr>
        <w:tc>
          <w:tcPr>
            <w:tcW w:type="dxa" w:w="3000"/>
            <w:tcMar>
              <w:top w:w="80" w:type="dxa"/>
              <w:start w:w="120" w:type="dxa"/>
              <w:bottom w:w="80" w:type="dxa"/>
              <w:end w:w="120" w:type="dxa"/>
            </w:tcMar>
            <w:vAlign w:val="center"/>
            <w:shd w:fill="1F4E78"/>
          </w:tcPr>
          <w:p>
            <w:r>
              <w:t>Completion statement: This catalogue establishes the complete researched HRM coverage baseline: 58 parent feature areas, an expanded enterprise-platform integration model, a 43-group payroll catalogue, Zambia country configuration and explicit ownership boundaries for shared infrastructure.</w:t>
            </w:r>
          </w:p>
        </w:tc>
        <w:tc>
          <w:tcPr>
            <w:tcW w:type="dxa" w:w="4360"/>
            <w:tcMar>
              <w:top w:w="80" w:type="dxa"/>
              <w:start w:w="120" w:type="dxa"/>
              <w:bottom w:w="80" w:type="dxa"/>
              <w:end w:w="120" w:type="dxa"/>
            </w:tcMar>
            <w:vAlign w:val="center"/>
            <w:shd w:fill="1F4E78"/>
          </w:tcPr>
          <w:p>
            <w:pPr>
              <w:spacing w:after="40" w:line="247" w:lineRule="auto"/>
            </w:pPr>
            <w:r>
              <w:rPr>
                <w:rFonts w:ascii="Aptos" w:hAnsi="Aptos"/>
                <w:b/>
                <w:color w:val="FFFFFF"/>
                <w:sz w:val="17"/>
              </w:rPr>
              <w:t>Purpose</w:t>
            </w:r>
          </w:p>
        </w:tc>
        <w:tc>
          <w:tcPr>
            <w:tcW w:type="dxa" w:w="2000"/>
            <w:tcMar>
              <w:top w:w="80" w:type="dxa"/>
              <w:start w:w="120" w:type="dxa"/>
              <w:bottom w:w="80" w:type="dxa"/>
              <w:end w:w="120" w:type="dxa"/>
            </w:tcMar>
            <w:vAlign w:val="center"/>
            <w:shd w:fill="1F4E78"/>
          </w:tcPr>
          <w:p>
            <w:pPr>
              <w:spacing w:after="40" w:line="247" w:lineRule="auto"/>
            </w:pPr>
            <w:r>
              <w:rPr>
                <w:rFonts w:ascii="Aptos" w:hAnsi="Aptos"/>
                <w:b/>
                <w:color w:val="FFFFFF"/>
                <w:sz w:val="17"/>
              </w:rPr>
              <w:t>Status after this catalogue</w:t>
            </w:r>
          </w:p>
        </w:tc>
      </w:tr>
      <w:tr>
        <w:tc>
          <w:tcPr>
            <w:tcW w:type="dxa" w:w="3000"/>
          </w:tcPr>
          <w:p>
            <w:pPr>
              <w:spacing w:after="40" w:line="247" w:lineRule="auto"/>
            </w:pPr>
            <w:r>
              <w:rPr>
                <w:rFonts w:ascii="Aptos" w:hAnsi="Aptos"/>
                <w:sz w:val="17"/>
              </w:rPr>
              <w:t>Child-feature specifications</w:t>
            </w:r>
          </w:p>
        </w:tc>
        <w:tc>
          <w:tcPr>
            <w:tcW w:type="dxa" w:w="4360"/>
          </w:tcPr>
          <w:p>
            <w:pPr>
              <w:spacing w:after="40" w:line="247" w:lineRule="auto"/>
            </w:pPr>
            <w:r>
              <w:rPr>
                <w:rFonts w:ascii="Aptos" w:hAnsi="Aptos"/>
                <w:sz w:val="17"/>
              </w:rPr>
              <w:t>Apply the 28-section framework to each prioritized child capability.</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HRM product requirements document</w:t>
            </w:r>
          </w:p>
        </w:tc>
        <w:tc>
          <w:tcPr>
            <w:tcW w:type="dxa" w:w="4360"/>
            <w:shd w:fill="FAFCFD"/>
          </w:tcPr>
          <w:p>
            <w:pPr>
              <w:spacing w:after="40" w:line="247" w:lineRule="auto"/>
            </w:pPr>
            <w:r>
              <w:rPr>
                <w:rFonts w:ascii="Aptos" w:hAnsi="Aptos"/>
                <w:sz w:val="17"/>
              </w:rPr>
              <w:t>Define product goals, personas, scope, releases and success measures.</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Domain and data model</w:t>
            </w:r>
          </w:p>
        </w:tc>
        <w:tc>
          <w:tcPr>
            <w:tcW w:type="dxa" w:w="4360"/>
          </w:tcPr>
          <w:p>
            <w:pPr>
              <w:spacing w:after="40" w:line="247" w:lineRule="auto"/>
            </w:pPr>
            <w:r>
              <w:rPr>
                <w:rFonts w:ascii="Aptos" w:hAnsi="Aptos"/>
                <w:sz w:val="17"/>
              </w:rPr>
              <w:t>Define entities, relationships, ownership, effective dating and retention.</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Technical architecture</w:t>
            </w:r>
          </w:p>
        </w:tc>
        <w:tc>
          <w:tcPr>
            <w:tcW w:type="dxa" w:w="4360"/>
            <w:shd w:fill="FAFCFD"/>
          </w:tcPr>
          <w:p>
            <w:pPr>
              <w:spacing w:after="40" w:line="247" w:lineRule="auto"/>
            </w:pPr>
            <w:r>
              <w:rPr>
                <w:rFonts w:ascii="Aptos" w:hAnsi="Aptos"/>
                <w:sz w:val="17"/>
              </w:rPr>
              <w:t>Define service structure, database organization, events, deployment and resilience.</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Permission catalogue</w:t>
            </w:r>
          </w:p>
        </w:tc>
        <w:tc>
          <w:tcPr>
            <w:tcW w:type="dxa" w:w="4360"/>
          </w:tcPr>
          <w:p>
            <w:pPr>
              <w:spacing w:after="40" w:line="247" w:lineRule="auto"/>
            </w:pPr>
            <w:r>
              <w:rPr>
                <w:rFonts w:ascii="Aptos" w:hAnsi="Aptos"/>
                <w:sz w:val="17"/>
              </w:rPr>
              <w:t>Define roles, actions, scopes, fields and segregation of duties.</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Workflow catalogue</w:t>
            </w:r>
          </w:p>
        </w:tc>
        <w:tc>
          <w:tcPr>
            <w:tcW w:type="dxa" w:w="4360"/>
            <w:shd w:fill="FAFCFD"/>
          </w:tcPr>
          <w:p>
            <w:pPr>
              <w:spacing w:after="40" w:line="247" w:lineRule="auto"/>
            </w:pPr>
            <w:r>
              <w:rPr>
                <w:rFonts w:ascii="Aptos" w:hAnsi="Aptos"/>
                <w:sz w:val="17"/>
              </w:rPr>
              <w:t>Define reusable workflow patterns, statuses, approvals and escalation.</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API and event specification</w:t>
            </w:r>
          </w:p>
        </w:tc>
        <w:tc>
          <w:tcPr>
            <w:tcW w:type="dxa" w:w="4360"/>
          </w:tcPr>
          <w:p>
            <w:pPr>
              <w:spacing w:after="40" w:line="247" w:lineRule="auto"/>
            </w:pPr>
            <w:r>
              <w:rPr>
                <w:rFonts w:ascii="Aptos" w:hAnsi="Aptos"/>
                <w:sz w:val="17"/>
              </w:rPr>
              <w:t>Define endpoints, schemas, scopes, events, sandbox and versioning.</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Zambia country-pack specification</w:t>
            </w:r>
          </w:p>
        </w:tc>
        <w:tc>
          <w:tcPr>
            <w:tcW w:type="dxa" w:w="4360"/>
            <w:shd w:fill="FAFCFD"/>
          </w:tcPr>
          <w:p>
            <w:pPr>
              <w:spacing w:after="40" w:line="247" w:lineRule="auto"/>
            </w:pPr>
            <w:r>
              <w:rPr>
                <w:rFonts w:ascii="Aptos" w:hAnsi="Aptos"/>
                <w:sz w:val="17"/>
              </w:rPr>
              <w:t>Define local rules, sources, effective dates, reports and configuration.</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UI/UX information architecture</w:t>
            </w:r>
          </w:p>
        </w:tc>
        <w:tc>
          <w:tcPr>
            <w:tcW w:type="dxa" w:w="4360"/>
          </w:tcPr>
          <w:p>
            <w:pPr>
              <w:spacing w:after="40" w:line="247" w:lineRule="auto"/>
            </w:pPr>
            <w:r>
              <w:rPr>
                <w:rFonts w:ascii="Aptos" w:hAnsi="Aptos"/>
                <w:sz w:val="17"/>
              </w:rPr>
              <w:t>Define navigation, pages, forms, dashboards, states and accessibility.</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Reporting and KPI catalogue</w:t>
            </w:r>
          </w:p>
        </w:tc>
        <w:tc>
          <w:tcPr>
            <w:tcW w:type="dxa" w:w="4360"/>
            <w:shd w:fill="FAFCFD"/>
          </w:tcPr>
          <w:p>
            <w:pPr>
              <w:spacing w:after="40" w:line="247" w:lineRule="auto"/>
            </w:pPr>
            <w:r>
              <w:rPr>
                <w:rFonts w:ascii="Aptos" w:hAnsi="Aptos"/>
                <w:sz w:val="17"/>
              </w:rPr>
              <w:t>Define measures, calculations, sources, filters and permissions.</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Security and privacy model</w:t>
            </w:r>
          </w:p>
        </w:tc>
        <w:tc>
          <w:tcPr>
            <w:tcW w:type="dxa" w:w="4360"/>
          </w:tcPr>
          <w:p>
            <w:pPr>
              <w:spacing w:after="40" w:line="247" w:lineRule="auto"/>
            </w:pPr>
            <w:r>
              <w:rPr>
                <w:rFonts w:ascii="Aptos" w:hAnsi="Aptos"/>
                <w:sz w:val="17"/>
              </w:rPr>
              <w:t>Define threat controls, data classification, access, audit and retention.</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Test strategy and acceptance pack</w:t>
            </w:r>
          </w:p>
        </w:tc>
        <w:tc>
          <w:tcPr>
            <w:tcW w:type="dxa" w:w="4360"/>
            <w:shd w:fill="FAFCFD"/>
          </w:tcPr>
          <w:p>
            <w:pPr>
              <w:spacing w:after="40" w:line="247" w:lineRule="auto"/>
            </w:pPr>
            <w:r>
              <w:rPr>
                <w:rFonts w:ascii="Aptos" w:hAnsi="Aptos"/>
                <w:sz w:val="17"/>
              </w:rPr>
              <w:t>Define test levels, environments, data, automation and release evidence.</w:t>
            </w:r>
          </w:p>
        </w:tc>
        <w:tc>
          <w:tcPr>
            <w:tcW w:type="dxa" w:w="2000"/>
            <w:shd w:fill="FAFCFD"/>
          </w:tcPr>
          <w:p>
            <w:pPr>
              <w:spacing w:after="40" w:line="247" w:lineRule="auto"/>
            </w:pPr>
            <w:r>
              <w:rPr>
                <w:rFonts w:ascii="Aptos" w:hAnsi="Aptos"/>
                <w:sz w:val="17"/>
              </w:rPr>
              <w:t>Required</w:t>
            </w:r>
          </w:p>
        </w:tc>
      </w:tr>
      <w:tr>
        <w:tc>
          <w:tcPr>
            <w:tcW w:type="dxa" w:w="3000"/>
          </w:tcPr>
          <w:p>
            <w:pPr>
              <w:spacing w:after="40" w:line="247" w:lineRule="auto"/>
            </w:pPr>
            <w:r>
              <w:rPr>
                <w:rFonts w:ascii="Aptos" w:hAnsi="Aptos"/>
                <w:sz w:val="17"/>
              </w:rPr>
              <w:t>Migration and integration plan</w:t>
            </w:r>
          </w:p>
        </w:tc>
        <w:tc>
          <w:tcPr>
            <w:tcW w:type="dxa" w:w="4360"/>
          </w:tcPr>
          <w:p>
            <w:pPr>
              <w:spacing w:after="40" w:line="247" w:lineRule="auto"/>
            </w:pPr>
            <w:r>
              <w:rPr>
                <w:rFonts w:ascii="Aptos" w:hAnsi="Aptos"/>
                <w:sz w:val="17"/>
              </w:rPr>
              <w:t>Define legacy data, mapping, cleansing, cutover and reconciliation.</w:t>
            </w:r>
          </w:p>
        </w:tc>
        <w:tc>
          <w:tcPr>
            <w:tcW w:type="dxa" w:w="2000"/>
          </w:tcPr>
          <w:p>
            <w:pPr>
              <w:spacing w:after="40" w:line="247" w:lineRule="auto"/>
            </w:pPr>
            <w:r>
              <w:rPr>
                <w:rFonts w:ascii="Aptos" w:hAnsi="Aptos"/>
                <w:sz w:val="17"/>
              </w:rPr>
              <w:t>Required</w:t>
            </w:r>
          </w:p>
        </w:tc>
      </w:tr>
      <w:tr>
        <w:tc>
          <w:tcPr>
            <w:tcW w:type="dxa" w:w="3000"/>
            <w:shd w:fill="FAFCFD"/>
          </w:tcPr>
          <w:p>
            <w:pPr>
              <w:spacing w:after="40" w:line="247" w:lineRule="auto"/>
            </w:pPr>
            <w:r>
              <w:rPr>
                <w:rFonts w:ascii="Aptos" w:hAnsi="Aptos"/>
                <w:sz w:val="17"/>
              </w:rPr>
              <w:t>Operations and disaster-recovery runbook</w:t>
            </w:r>
          </w:p>
        </w:tc>
        <w:tc>
          <w:tcPr>
            <w:tcW w:type="dxa" w:w="4360"/>
            <w:shd w:fill="FAFCFD"/>
          </w:tcPr>
          <w:p>
            <w:pPr>
              <w:spacing w:after="40" w:line="247" w:lineRule="auto"/>
            </w:pPr>
            <w:r>
              <w:rPr>
                <w:rFonts w:ascii="Aptos" w:hAnsi="Aptos"/>
                <w:sz w:val="17"/>
              </w:rPr>
              <w:t>Define monitoring, incidents, backup, restore, RPO, RTO and continuity.</w:t>
            </w:r>
          </w:p>
        </w:tc>
        <w:tc>
          <w:tcPr>
            <w:tcW w:type="dxa" w:w="2000"/>
            <w:shd w:fill="FAFCFD"/>
          </w:tcPr>
          <w:p>
            <w:pPr>
              <w:spacing w:after="40" w:line="247" w:lineRule="auto"/>
            </w:pPr>
            <w:r>
              <w:rPr>
                <w:rFonts w:ascii="Aptos" w:hAnsi="Aptos"/>
                <w:sz w:val="17"/>
              </w:rPr>
              <w:t>Required before production</w:t>
            </w:r>
          </w:p>
        </w:tc>
      </w:tr>
    </w:tbl>
    <w:p>
      <w:pPr>
        <w:pStyle w:val="Heading2"/>
      </w:pPr>
      <w:r>
        <w:t>M.2 Global Configuration, Validation and Support Model</w:t>
      </w:r>
    </w:p>
    <w:p>
      <w:pPr/>
      <w:r>
        <w:t>The HRM core is designed to be organization-, industry- and jurisdiction-neutral. Where legitimate business practice varies, behaviour is supplied through governed configuration, versioned extension packs or replaceable integration bindings rather than source-code constants or mandatory example processes.</w:t>
      </w:r>
    </w:p>
    <w:p>
      <w:pPr/>
      <w:r>
        <w:t>Configurability does not by itself establish legal, statutory or production support for every jurisdiction. A country or regulated industry is officially supported only when its applicable configuration, authoritative sources, effective dates, reports, controls and test evidence have been reviewed and approved.</w:t>
      </w:r>
    </w:p>
    <w:tbl>
      <w:tblPr>
        <w:tblStyle w:val="TableGrid"/>
        <w:tblW w:type="auto" w:w="0"/>
        <w:tblLook w:firstColumn="1" w:firstRow="1" w:lastColumn="0" w:lastRow="0" w:noHBand="0" w:noVBand="1" w:val="04A0"/>
      </w:tblPr>
      <w:tblGrid>
        <w:gridCol w:w="4795"/>
        <w:gridCol w:w="4795"/>
      </w:tblGrid>
      <w:tr>
        <w:tc>
          <w:tcPr>
            <w:tcW w:type="dxa" w:w="4795"/>
          </w:tcPr>
          <w:p>
            <w:r>
              <w:t>Classification</w:t>
            </w:r>
          </w:p>
        </w:tc>
        <w:tc>
          <w:tcPr>
            <w:tcW w:type="dxa" w:w="4795"/>
          </w:tcPr>
          <w:p>
            <w:r>
              <w:t>Meaning</w:t>
            </w:r>
          </w:p>
        </w:tc>
      </w:tr>
      <w:tr>
        <w:tc>
          <w:tcPr>
            <w:tcW w:type="dxa" w:w="4795"/>
          </w:tcPr>
          <w:p>
            <w:r>
              <w:t>Globally configurable core</w:t>
            </w:r>
          </w:p>
        </w:tc>
        <w:tc>
          <w:tcPr>
            <w:tcW w:type="dxa" w:w="4795"/>
          </w:tcPr>
          <w:p>
            <w:r>
              <w:t>Reusable HRM capability whose terminology, fields, forms, policies, roles, workflows, calculations, templates, reports and organization scope can be configured without changing core source code.</w:t>
            </w:r>
          </w:p>
        </w:tc>
      </w:tr>
      <w:tr>
        <w:tc>
          <w:tcPr>
            <w:tcW w:type="dxa" w:w="4795"/>
          </w:tcPr>
          <w:p>
            <w:r>
              <w:t>Validated country pack</w:t>
            </w:r>
          </w:p>
        </w:tc>
        <w:tc>
          <w:tcPr>
            <w:tcW w:type="dxa" w:w="4795"/>
          </w:tcPr>
          <w:p>
            <w:r>
              <w:t>Versioned jurisdiction configuration with authoritative sources, effective dates, statutory outputs, localization, approval and regression evidence.</w:t>
            </w:r>
          </w:p>
        </w:tc>
      </w:tr>
      <w:tr>
        <w:tc>
          <w:tcPr>
            <w:tcW w:type="dxa" w:w="4795"/>
          </w:tcPr>
          <w:p>
            <w:r>
              <w:t>Validated industry pack</w:t>
            </w:r>
          </w:p>
        </w:tc>
        <w:tc>
          <w:tcPr>
            <w:tcW w:type="dxa" w:w="4795"/>
          </w:tcPr>
          <w:p>
            <w:r>
              <w:t>Versioned extension for regulated or specialized workforce requirements with declared dependencies, controls and test evidence.</w:t>
            </w:r>
          </w:p>
        </w:tc>
      </w:tr>
      <w:tr>
        <w:tc>
          <w:tcPr>
            <w:tcW w:type="dxa" w:w="4795"/>
          </w:tcPr>
          <w:p>
            <w:r>
              <w:t>Customer or partner configuration</w:t>
            </w:r>
          </w:p>
        </w:tc>
        <w:tc>
          <w:tcPr>
            <w:tcW w:type="dxa" w:w="4795"/>
          </w:tcPr>
          <w:p>
            <w:r>
              <w:t>Organization-specific setup created within supported configuration boundaries; the configuring party owns validation unless MightyFin explicitly certifies it.</w:t>
            </w:r>
          </w:p>
        </w:tc>
      </w:tr>
      <w:tr>
        <w:tc>
          <w:tcPr>
            <w:tcW w:type="dxa" w:w="4795"/>
          </w:tcPr>
          <w:p>
            <w:r>
              <w:t>External platform binding</w:t>
            </w:r>
          </w:p>
        </w:tc>
        <w:tc>
          <w:tcPr>
            <w:tcW w:type="dxa" w:w="4795"/>
          </w:tcPr>
          <w:p>
            <w:r>
              <w:t>Replaceable connection to identity, communications, analytics, integration, document, search, observability, payment or approved AI infrastructure.</w:t>
            </w:r>
          </w:p>
        </w:tc>
      </w:tr>
      <w:tr>
        <w:tc>
          <w:tcPr>
            <w:tcW w:type="dxa" w:w="4795"/>
          </w:tcPr>
          <w:p>
            <w:r>
              <w:t>Platform invariant</w:t>
            </w:r>
          </w:p>
        </w:tc>
        <w:tc>
          <w:tcPr>
            <w:tcW w:type="dxa" w:w="4795"/>
          </w:tcPr>
          <w:p>
            <w:r>
              <w:t>Non-configurable guarantee required for tenant isolation, authorization enforcement, audit integrity, encryption, transaction safety, historical truth and protected-record handling.</w:t>
            </w:r>
          </w:p>
        </w:tc>
      </w:tr>
    </w:tbl>
    <w:p>
      <w:pPr>
        <w:pStyle w:val="Heading3"/>
      </w:pPr>
      <w:r>
        <w:t>Standalone and ERP deployment</w:t>
      </w:r>
    </w:p>
    <w:p>
      <w:pPr>
        <w:pStyle w:val="ListBullet"/>
      </w:pPr>
      <w:r>
        <w:t>HRM may be deployed as part of the MightyFin ERP or as a separately deployable module.</w:t>
      </w:r>
    </w:p>
    <w:p>
      <w:pPr>
        <w:pStyle w:val="ListBullet"/>
      </w:pPr>
      <w:r>
        <w:t>Standalone deployment may use MightyFin shared services or approved customer-selected services through documented, provider-neutral interfaces.</w:t>
      </w:r>
    </w:p>
    <w:p>
      <w:pPr>
        <w:pStyle w:val="ListBullet"/>
      </w:pPr>
      <w:r>
        <w:t>HRM remains authoritative for workforce business meaning and controls even when shared infrastructure performs authentication, delivery, storage, analytics or transport.</w:t>
      </w:r>
    </w:p>
    <w:p>
      <w:pPr>
        <w:pStyle w:val="ListBullet"/>
      </w:pPr>
      <w:r>
        <w:t>Failure or replacement of an external service must not silently corrupt HRM records, bypass authorization or erase audit evidence.</w:t>
      </w:r>
    </w:p>
    <w:p>
      <w:pPr>
        <w:pStyle w:val="Heading3"/>
      </w:pPr>
      <w:r>
        <w:t>Portability and customer exit</w:t>
      </w:r>
    </w:p>
    <w:p>
      <w:pPr>
        <w:pStyle w:val="ListBullet"/>
      </w:pPr>
      <w:r>
        <w:t>Provide documented export of customer-owned operational data, historical records, documents and configuration in open or documented formats.</w:t>
      </w:r>
    </w:p>
    <w:p>
      <w:pPr>
        <w:pStyle w:val="ListBullet"/>
      </w:pPr>
      <w:r>
        <w:t>Support versioned configuration import, export, environment promotion and dependency validation.</w:t>
      </w:r>
    </w:p>
    <w:p>
      <w:pPr>
        <w:pStyle w:val="ListBullet"/>
      </w:pPr>
      <w:r>
        <w:t>Document API, event, file and data-product contracts so integrations can be replaced without changing HRM business meaning.</w:t>
      </w:r>
    </w:p>
    <w:p>
      <w:pPr>
        <w:pStyle w:val="ListBullet"/>
      </w:pPr>
      <w:r>
        <w:t>Define migration, reconciliation, backup, restoration, retention and secure-deletion responsibilities.</w:t>
      </w:r>
    </w:p>
    <w:p>
      <w:pPr>
        <w:pStyle w:val="Heading3"/>
      </w:pPr>
      <w:r>
        <w:t>Mandatory platform guarantees</w:t>
      </w:r>
    </w:p>
    <w:p>
      <w:pPr>
        <w:pStyle w:val="ListBullet"/>
      </w:pPr>
      <w:r>
        <w:t>Business variation is configurable; tenant isolation and authorization enforcement are not optional.</w:t>
      </w:r>
    </w:p>
    <w:p>
      <w:pPr>
        <w:pStyle w:val="ListBullet"/>
      </w:pPr>
      <w:r>
        <w:t>Policy and statutory configuration is effective-dated so historical results remain reproducible.</w:t>
      </w:r>
    </w:p>
    <w:p>
      <w:pPr>
        <w:pStyle w:val="ListBullet"/>
      </w:pPr>
      <w:r>
        <w:t>Released payroll, audit and legally retained records are not silently overwritten by later configuration.</w:t>
      </w:r>
    </w:p>
    <w:p>
      <w:pPr>
        <w:pStyle w:val="ListBullet"/>
      </w:pPr>
      <w:r>
        <w:t>Extensions and integrations preserve least privilege, purpose limitation, data minimization, traceability, idempotency and recovery.</w:t>
      </w:r>
    </w:p>
    <w:p>
      <w:pPr>
        <w:pStyle w:val="ListBullet"/>
      </w:pPr>
      <w:r>
        <w:t>A support claim names the validated country, industry pack, version and evidence; it is never inferred solely from a configurable field or formula.</w:t>
      </w:r>
    </w:p>
    <w:p>
      <w:pPr>
        <w:pStyle w:val="Heading1"/>
      </w:pPr>
      <w:r>
        <w:t>N. Catalogue Governance</w:t>
      </w:r>
    </w:p>
    <w:p>
      <w:pPr>
        <w:pStyle w:val="ListBullet"/>
      </w:pPr>
      <w:r>
        <w:t>Every new feature must be assigned to a category, parent feature and child capability.</w:t>
      </w:r>
    </w:p>
    <w:p>
      <w:pPr>
        <w:pStyle w:val="ListBullet"/>
      </w:pPr>
      <w:r>
        <w:t>Duplicate capability names must be consolidated or intentionally differentiated.</w:t>
      </w:r>
    </w:p>
    <w:p>
      <w:pPr>
        <w:pStyle w:val="ListBullet"/>
      </w:pPr>
      <w:r>
        <w:t>A feature may move tiers without changing its identity.</w:t>
      </w:r>
    </w:p>
    <w:p>
      <w:pPr>
        <w:pStyle w:val="ListBullet"/>
      </w:pPr>
      <w:r>
        <w:t>A feature is not implementation-ready until its child specification satisfies the ERP Feature Specification Framework.</w:t>
      </w:r>
    </w:p>
    <w:p>
      <w:pPr>
        <w:pStyle w:val="ListBullet"/>
      </w:pPr>
      <w:r>
        <w:t>Changes to statutory or organization policy behaviour must be effective-dated.</w:t>
      </w:r>
    </w:p>
    <w:p>
      <w:pPr>
        <w:pStyle w:val="ListBullet"/>
      </w:pPr>
      <w:r>
        <w:t>New integrations must define scopes, sandbox behaviour, production approval and audit.</w:t>
      </w:r>
    </w:p>
    <w:p>
      <w:pPr>
        <w:pStyle w:val="ListBullet"/>
      </w:pPr>
      <w:r>
        <w:t>Retired features remain historically traceable.</w:t>
      </w:r>
    </w:p>
    <w:tbl>
      <w:tblPr>
        <w:tblW w:type="dxa" w:w="9360"/>
        <w:jc w:val="left"/>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D9EAF7"/>
          </w:tcPr>
          <w:p>
            <w:pPr>
              <w:spacing w:after="40" w:line="247" w:lineRule="auto"/>
            </w:pPr>
            <w:r>
              <w:rPr>
                <w:rFonts w:ascii="Aptos" w:hAnsi="Aptos"/>
                <w:b/>
                <w:color w:val="17365D"/>
                <w:sz w:val="17"/>
              </w:rPr>
              <w:t xml:space="preserve">Completion statement: </w:t>
            </w:r>
            <w:r>
              <w:rPr>
                <w:rFonts w:ascii="Aptos" w:hAnsi="Aptos"/>
                <w:sz w:val="17"/>
              </w:rPr>
              <w:t>This catalogue establishes the complete researched HRM coverage baseline: 58 parent feature areas, a 43-group payroll catalogue, Zambia country configuration and the major integration boundaries.</w:t>
            </w:r>
          </w:p>
        </w:tc>
      </w:tr>
    </w:tbl>
    <w:p>
      <w:pPr>
        <w:spacing w:after="0"/>
      </w:pPr>
    </w:p>
    <w:sectPr w:rsidR="00FC693F" w:rsidRPr="0006063C" w:rsidSect="00034616">
      <w:headerReference w:type="default" r:id="rId9"/>
      <w:footerReference w:type="default" r:id="rId10"/>
      <w:pgSz w:w="12240" w:h="15840"/>
      <w:pgMar w:top="1181" w:right="1325" w:bottom="1123" w:left="1325"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Controlled product catalogue  |  Version 1.0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6666"/>
        <w:sz w:val="16"/>
      </w:rPr>
      <w:t>HRM PRODUCT DEFINITION | COMPLETE FEATURE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5" w:lineRule="auto"/>
      <w:contextualSpacing/>
    </w:pPr>
    <w:rPr>
      <w:rFonts w:ascii="Aptos" w:hAnsi="Aptos"/>
      <w:sz w:val="19"/>
    </w:rPr>
  </w:style>
  <w:style w:type="paragraph" w:styleId="ListBullet2">
    <w:name w:val="List Bullet 2"/>
    <w:basedOn w:val="Normal"/>
    <w:uiPriority w:val="99"/>
    <w:unhideWhenUsed/>
    <w:rsid w:val="00326F90"/>
    <w:pPr>
      <w:numPr>
        <w:numId w:val="2"/>
      </w:numPr>
      <w:spacing w:after="20" w:line="245" w:lineRule="auto"/>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 Complete Feature Catalogue</dc:title>
  <dc:subject>Complete Zambia-first, globally configurable HRM capability inventory</dc:subject>
  <dc:creator>Product and Technology</dc:creator>
  <cp:keywords>HRM, HRIS, HCM, payroll, Zambia, feature catalogue, ERP</cp:keywords>
  <dc:description>generated by python-docx</dc:description>
  <cp:lastModifiedBy/>
  <cp:revision>1</cp:revision>
  <dcterms:created xsi:type="dcterms:W3CDTF">2013-12-23T23:15:00Z</dcterms:created>
  <dcterms:modified xsi:type="dcterms:W3CDTF">2013-12-23T23:15:00Z</dcterms:modified>
  <cp:category/>
</cp:coreProperties>
</file>