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de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2XcS2yePqnGdptffC3gqxdB9gw==">CgMxLjA4AHIhMWFjaV8tNnNPMmF3TWJ0WlBRX3RQVVl6R2t4YWxYTXpN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