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38A375" w14:textId="77777777" w:rsidR="00445257" w:rsidRDefault="00000000">
      <w:pPr>
        <w:jc w:val="center"/>
      </w:pPr>
      <w:r>
        <w:rPr>
          <w:b/>
        </w:rPr>
        <w:t>MISW4501 · Proyecto Final — Universidad de los Andes</w:t>
      </w:r>
    </w:p>
    <w:p w14:paraId="6DE397C4" w14:textId="77777777" w:rsidR="00445257" w:rsidRDefault="00000000">
      <w:pPr>
        <w:pStyle w:val="Ttulo1"/>
        <w:jc w:val="center"/>
      </w:pPr>
      <w:r>
        <w:t>Visión de Arquitectura — Solventa</w:t>
      </w:r>
    </w:p>
    <w:p w14:paraId="4F42395B" w14:textId="77777777" w:rsidR="00445257" w:rsidRDefault="00000000">
      <w:pPr>
        <w:jc w:val="center"/>
      </w:pPr>
      <w:r>
        <w:t>Versión 1.0.0  |  16 de agosto de 2026  |  Grupo 2</w:t>
      </w:r>
    </w:p>
    <w:p w14:paraId="3A9F3B57" w14:textId="77777777" w:rsidR="00445257" w:rsidRDefault="00445257"/>
    <w:p w14:paraId="09B445EF" w14:textId="77777777" w:rsidR="00445257" w:rsidRDefault="00000000">
      <w:pPr>
        <w:pStyle w:val="Ttulo1"/>
      </w:pPr>
      <w:r>
        <w:t>1. Definición del Problema de Negocio</w:t>
      </w:r>
    </w:p>
    <w:p w14:paraId="63EBA6AE" w14:textId="77777777" w:rsidR="00445257" w:rsidRDefault="00000000">
      <w:r>
        <w:t>Solventa es una aseguradora digital (</w:t>
      </w:r>
      <w:proofErr w:type="spellStart"/>
      <w:r>
        <w:t>insurtech</w:t>
      </w:r>
      <w:proofErr w:type="spellEnd"/>
      <w:r>
        <w:t xml:space="preserve">) </w:t>
      </w:r>
      <w:proofErr w:type="spellStart"/>
      <w:r>
        <w:t>greenfield</w:t>
      </w:r>
      <w:proofErr w:type="spellEnd"/>
      <w:r>
        <w:t xml:space="preserve">, nativa en la nube, construida sobre Finanzas Abiertas (Open </w:t>
      </w:r>
      <w:proofErr w:type="spellStart"/>
      <w:r>
        <w:t>Finance</w:t>
      </w:r>
      <w:proofErr w:type="spellEnd"/>
      <w:r>
        <w:t>) y Datos Abiertos (Open Data). Su propuesta de valor es permitir cotizar, suscribir, emitir y pagar siniestros de forma casi instantánea, embebiendo seguros directamente en el punto de necesidad del cliente (API-</w:t>
      </w:r>
      <w:proofErr w:type="spellStart"/>
      <w:r>
        <w:t>first</w:t>
      </w:r>
      <w:proofErr w:type="spellEnd"/>
      <w:r>
        <w:t xml:space="preserve"> /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>).</w:t>
      </w:r>
    </w:p>
    <w:p w14:paraId="62665EA4" w14:textId="77777777" w:rsidR="00445257" w:rsidRDefault="00445257"/>
    <w:p w14:paraId="0C4995F8" w14:textId="77777777" w:rsidR="00445257" w:rsidRDefault="00000000">
      <w:r>
        <w:t>El mercado latinoamericano de seguros presenta una penetración históricamente baja (&lt; 3 % del PIB en Colombia) y una operación tradicional altamente manual, costosa y excluyente. Solventa busca revertir este panorama mediante:</w:t>
      </w:r>
    </w:p>
    <w:p w14:paraId="7E0AFD24" w14:textId="77777777" w:rsidR="00445257" w:rsidRDefault="00000000">
      <w:pPr>
        <w:ind w:left="360" w:hanging="360"/>
      </w:pPr>
      <w:r>
        <w:t xml:space="preserve">• Cotización en tiempo real apoyada en señales de Open </w:t>
      </w:r>
      <w:proofErr w:type="spellStart"/>
      <w:r>
        <w:t>Finance</w:t>
      </w:r>
      <w:proofErr w:type="spellEnd"/>
      <w:r>
        <w:t xml:space="preserve"> y Open Data.</w:t>
      </w:r>
    </w:p>
    <w:p w14:paraId="069E5B2C" w14:textId="77777777" w:rsidR="00445257" w:rsidRDefault="00000000">
      <w:pPr>
        <w:ind w:left="360" w:hanging="360"/>
      </w:pPr>
      <w:r>
        <w:t>• Suscripción y emisión automática de póliza con firma electrónica.</w:t>
      </w:r>
    </w:p>
    <w:p w14:paraId="041C5BAA" w14:textId="77777777" w:rsidR="00445257" w:rsidRDefault="00000000">
      <w:pPr>
        <w:ind w:left="360" w:hanging="360"/>
      </w:pPr>
      <w:r>
        <w:t>• Gestión de siniestros digital con asignación automática de peritos.</w:t>
      </w:r>
    </w:p>
    <w:p w14:paraId="4EF53078" w14:textId="77777777" w:rsidR="00445257" w:rsidRDefault="00000000">
      <w:pPr>
        <w:ind w:left="360" w:hanging="360"/>
      </w:pPr>
      <w:r>
        <w:t xml:space="preserve">• Operación en los ramos de viaje, protección de dispositivos, </w:t>
      </w:r>
      <w:proofErr w:type="spellStart"/>
      <w:r>
        <w:t>microseguros</w:t>
      </w:r>
      <w:proofErr w:type="spellEnd"/>
      <w:r>
        <w:t xml:space="preserve"> de vida, seguro paramétrico (clima/vuelos) y protección de pagos.</w:t>
      </w:r>
    </w:p>
    <w:p w14:paraId="2F514FC6" w14:textId="77777777" w:rsidR="00445257" w:rsidRDefault="00000000">
      <w:pPr>
        <w:ind w:left="360" w:hanging="360"/>
      </w:pPr>
      <w:r>
        <w:t>• Expansión hacia México, Chile y Perú en un horizonte de 36 meses.</w:t>
      </w:r>
    </w:p>
    <w:p w14:paraId="5D6E3326" w14:textId="77777777" w:rsidR="00445257" w:rsidRDefault="00445257"/>
    <w:p w14:paraId="67AD18F0" w14:textId="77777777" w:rsidR="00445257" w:rsidRDefault="00000000">
      <w:pPr>
        <w:pStyle w:val="Ttulo1"/>
      </w:pPr>
      <w:r>
        <w:t xml:space="preserve">2. Objetivos de los </w:t>
      </w:r>
      <w:proofErr w:type="spellStart"/>
      <w:r>
        <w:t>Stakeholders</w:t>
      </w:r>
      <w:proofErr w:type="spellEnd"/>
    </w:p>
    <w:p w14:paraId="76A28ABF" w14:textId="77777777" w:rsidR="00445257" w:rsidRDefault="00000000">
      <w:pPr>
        <w:pStyle w:val="Ttulo2"/>
      </w:pPr>
      <w:r>
        <w:t>2.1 Objetivo 1 — Crecimiento de Pólizas Activas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14"/>
        <w:gridCol w:w="7662"/>
      </w:tblGrid>
      <w:tr w:rsidR="00445257" w14:paraId="330A75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54B1C03D" w14:textId="77777777" w:rsidR="00445257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228D1EE" w14:textId="77777777" w:rsidR="00445257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445257" w14:paraId="2B2934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341C1CB" w14:textId="77777777" w:rsidR="00445257" w:rsidRDefault="00000000">
            <w:r>
              <w:rPr>
                <w:b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B44788" w14:textId="77777777" w:rsidR="00445257" w:rsidRDefault="00000000">
            <w:r>
              <w:t>Alcanzar 5 millones de pólizas activas mediante el crecimiento de la operación de Solventa y el uso de sus canales digitales.</w:t>
            </w:r>
          </w:p>
        </w:tc>
      </w:tr>
      <w:tr w:rsidR="00445257" w14:paraId="4679DA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6DD6031" w14:textId="77777777" w:rsidR="00445257" w:rsidRDefault="00000000">
            <w:r>
              <w:rPr>
                <w:b/>
              </w:rPr>
              <w:t>Tiempo de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C01F33" w14:textId="77777777" w:rsidR="00445257" w:rsidRDefault="00000000">
            <w:r>
              <w:t>36 meses desde el lanzamiento.</w:t>
            </w:r>
          </w:p>
        </w:tc>
      </w:tr>
      <w:tr w:rsidR="00445257" w14:paraId="7F73F7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BCD58D9" w14:textId="77777777" w:rsidR="00445257" w:rsidRDefault="00000000">
            <w:r>
              <w:rPr>
                <w:b/>
              </w:rPr>
              <w:t>Mejora esperada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D66882" w14:textId="77777777" w:rsidR="00445257" w:rsidRDefault="00000000">
            <w:r>
              <w:t>Incrementar significativamente la cantidad de pólizas activas y ampliar la capacidad de operación de Solventa para soportar su crecimiento.</w:t>
            </w:r>
          </w:p>
        </w:tc>
      </w:tr>
      <w:tr w:rsidR="00445257" w14:paraId="503B5E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EE607E7" w14:textId="77777777" w:rsidR="00445257" w:rsidRDefault="00000000">
            <w:r>
              <w:rPr>
                <w:b/>
              </w:rPr>
              <w:lastRenderedPageBreak/>
              <w:t>Impacto en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C9DD4A" w14:textId="77777777" w:rsidR="00445257" w:rsidRDefault="00000000">
            <w:r>
              <w:t>• Aumento progresivo de usuarios y transacciones. • Escalabilidad para soportar el crecimiento hasta 5 M de pólizas. • Mayor capacidad de procesamiento y almacenamiento. • Mantenimiento de rendimiento y disponibilidad ante crecimiento.</w:t>
            </w:r>
          </w:p>
        </w:tc>
      </w:tr>
    </w:tbl>
    <w:p w14:paraId="10B11FDE" w14:textId="77777777" w:rsidR="00445257" w:rsidRDefault="00445257"/>
    <w:p w14:paraId="76203401" w14:textId="77777777" w:rsidR="00445257" w:rsidRDefault="00000000">
      <w:pPr>
        <w:pStyle w:val="Ttulo2"/>
      </w:pPr>
      <w:r>
        <w:t>2.2 Objetivo 2 — Expansión Internacional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7731"/>
      </w:tblGrid>
      <w:tr w:rsidR="00445257" w14:paraId="55107F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C77F895" w14:textId="77777777" w:rsidR="00445257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1884D76" w14:textId="77777777" w:rsidR="00445257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445257" w14:paraId="769057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504F1A8" w14:textId="77777777" w:rsidR="00445257" w:rsidRDefault="00000000">
            <w:r>
              <w:rPr>
                <w:b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9B7ADB8" w14:textId="77777777" w:rsidR="00445257" w:rsidRDefault="00000000">
            <w:r>
              <w:t>Expandir la operación de Solventa desde Bogotá hacia México, Chile y Perú.</w:t>
            </w:r>
          </w:p>
        </w:tc>
      </w:tr>
      <w:tr w:rsidR="00445257" w14:paraId="7DD4FF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A68FE3F" w14:textId="77777777" w:rsidR="00445257" w:rsidRDefault="00000000">
            <w:r>
              <w:rPr>
                <w:b/>
              </w:rPr>
              <w:t>Tiempo de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8EE6CE9" w14:textId="77777777" w:rsidR="00445257" w:rsidRDefault="00000000">
            <w:r>
              <w:t>36 meses desde el lanzamiento.</w:t>
            </w:r>
          </w:p>
        </w:tc>
      </w:tr>
      <w:tr w:rsidR="00445257" w14:paraId="2B440A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F49C92C" w14:textId="77777777" w:rsidR="00445257" w:rsidRDefault="00000000">
            <w:r>
              <w:rPr>
                <w:b/>
              </w:rPr>
              <w:t>Mejora esperada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B79E62" w14:textId="77777777" w:rsidR="00445257" w:rsidRDefault="00000000">
            <w:r>
              <w:t>Ampliar la presencia de Solventa en nuevos mercados y permitir el crecimiento fuera de Colombia.</w:t>
            </w:r>
          </w:p>
        </w:tc>
      </w:tr>
      <w:tr w:rsidR="00445257" w14:paraId="6C1A22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C44E5C1" w14:textId="77777777" w:rsidR="00445257" w:rsidRDefault="00000000">
            <w:r>
              <w:rPr>
                <w:b/>
              </w:rPr>
              <w:t>Impacto en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2F1A8B" w14:textId="77777777" w:rsidR="00445257" w:rsidRDefault="00000000">
            <w:r>
              <w:t>• La arquitectura debe permitir incorporar nuevos países sin rediseño completo. • Diferencias entre mercados: configuraciones, reglas de negocio e integraciones locales. • Mayor necesidad de internacionalización y parametrización. • Facilidad para integrar nuevos proveedores y servicios de cada mercado.</w:t>
            </w:r>
          </w:p>
        </w:tc>
      </w:tr>
    </w:tbl>
    <w:p w14:paraId="41B91084" w14:textId="77777777" w:rsidR="00445257" w:rsidRDefault="00445257"/>
    <w:p w14:paraId="73BB7EAD" w14:textId="77777777" w:rsidR="00445257" w:rsidRDefault="00000000">
      <w:pPr>
        <w:pStyle w:val="Ttulo2"/>
      </w:pPr>
      <w:r>
        <w:t xml:space="preserve">2.3 </w:t>
      </w:r>
      <w:proofErr w:type="spellStart"/>
      <w:r>
        <w:t>Stakeholders</w:t>
      </w:r>
      <w:proofErr w:type="spellEnd"/>
      <w:r>
        <w:t xml:space="preserve"> Identificados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3556"/>
        <w:gridCol w:w="5568"/>
      </w:tblGrid>
      <w:tr w:rsidR="00445257" w14:paraId="221875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7AF7B42C" w14:textId="77777777" w:rsidR="00445257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BC7E975" w14:textId="77777777" w:rsidR="00445257" w:rsidRDefault="00000000">
            <w:proofErr w:type="spellStart"/>
            <w:r>
              <w:rPr>
                <w:b/>
                <w:color w:val="FFFFFF"/>
              </w:rPr>
              <w:t>Stakeholder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F53EF85" w14:textId="77777777" w:rsidR="00445257" w:rsidRDefault="00000000">
            <w:r>
              <w:rPr>
                <w:b/>
                <w:color w:val="FFFFFF"/>
              </w:rPr>
              <w:t>Rol / Interés principal</w:t>
            </w:r>
          </w:p>
        </w:tc>
      </w:tr>
      <w:tr w:rsidR="00445257" w14:paraId="2A5445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6ABFBD" w14:textId="77777777" w:rsidR="00445257" w:rsidRDefault="00000000">
            <w: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4A7FD6" w14:textId="77777777" w:rsidR="00445257" w:rsidRDefault="00000000">
            <w:r>
              <w:t>CEO / Junta Directiva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172E34" w14:textId="77777777" w:rsidR="00445257" w:rsidRDefault="00000000">
            <w:r>
              <w:t>Crecimiento, rentabilidad y expansión regional en 36 meses.</w:t>
            </w:r>
          </w:p>
        </w:tc>
      </w:tr>
      <w:tr w:rsidR="00445257" w14:paraId="6E422B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F08EB8" w14:textId="77777777" w:rsidR="00445257" w:rsidRDefault="00000000">
            <w: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0A02215" w14:textId="77777777" w:rsidR="00445257" w:rsidRDefault="00000000">
            <w:r>
              <w:t>COO / Dirección de Operaciones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482F0E" w14:textId="77777777" w:rsidR="00445257" w:rsidRDefault="00000000">
            <w:r>
              <w:t>Eficiencia operativa, automatización y reducción de costos de siniestros.</w:t>
            </w:r>
          </w:p>
        </w:tc>
      </w:tr>
      <w:tr w:rsidR="00445257" w14:paraId="07CC45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8A45F9" w14:textId="77777777" w:rsidR="00445257" w:rsidRDefault="00000000">
            <w:r>
              <w:t>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AB6842" w14:textId="77777777" w:rsidR="00445257" w:rsidRDefault="00000000">
            <w:r>
              <w:t>CTO / Arquitecto de Software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CB56C4" w14:textId="77777777" w:rsidR="00445257" w:rsidRDefault="00000000">
            <w:r>
              <w:t>Solidez técnica, escalabilidad y mantenibilidad de la plataforma.</w:t>
            </w:r>
          </w:p>
        </w:tc>
      </w:tr>
      <w:tr w:rsidR="00445257" w14:paraId="41714A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9F3EA2" w14:textId="77777777" w:rsidR="00445257" w:rsidRDefault="00000000">
            <w: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32ABA7" w14:textId="77777777" w:rsidR="00445257" w:rsidRDefault="00000000">
            <w:r>
              <w:t>CISO / Oficial de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CF01563" w14:textId="77777777" w:rsidR="00445257" w:rsidRDefault="00000000">
            <w:r>
              <w:t xml:space="preserve">Seguridad de PII, cumplimiento Open </w:t>
            </w:r>
            <w:proofErr w:type="spellStart"/>
            <w:r>
              <w:t>Finance</w:t>
            </w:r>
            <w:proofErr w:type="spellEnd"/>
            <w:r>
              <w:t>, Habeas Data y PCI-DSS.</w:t>
            </w:r>
          </w:p>
        </w:tc>
      </w:tr>
      <w:tr w:rsidR="00445257" w14:paraId="2ED020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38CBE4" w14:textId="77777777" w:rsidR="00445257" w:rsidRDefault="00000000">
            <w:r>
              <w:t>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F2AE3D" w14:textId="77777777" w:rsidR="00445257" w:rsidRDefault="00000000">
            <w:r>
              <w:t xml:space="preserve">Área Legal /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132DC8" w14:textId="77777777" w:rsidR="00445257" w:rsidRDefault="00000000">
            <w:r>
              <w:t xml:space="preserve">Alineación con Decreto 1297/2022, Circular 004/2024 y </w:t>
            </w:r>
            <w:r>
              <w:lastRenderedPageBreak/>
              <w:t>Ley 1581.</w:t>
            </w:r>
          </w:p>
        </w:tc>
      </w:tr>
      <w:tr w:rsidR="00445257" w14:paraId="5C2B7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780BF4" w14:textId="77777777" w:rsidR="00445257" w:rsidRDefault="00000000"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56F3EC5" w14:textId="77777777" w:rsidR="00445257" w:rsidRDefault="00000000">
            <w:r>
              <w:t>Usuario Final (tomador/asegurado)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C7EF12" w14:textId="77777777" w:rsidR="00445257" w:rsidRDefault="00000000">
            <w:r>
              <w:t>Experiencia fluida, cotización rápida y acceso multicanal.</w:t>
            </w:r>
          </w:p>
        </w:tc>
      </w:tr>
      <w:tr w:rsidR="00445257" w14:paraId="6ADCFC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F37B83" w14:textId="77777777" w:rsidR="00445257" w:rsidRDefault="00000000">
            <w:r>
              <w:t>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D613F3" w14:textId="77777777" w:rsidR="00445257" w:rsidRDefault="00000000">
            <w:r>
              <w:t>Socio Estratégico (banco/</w:t>
            </w:r>
            <w:proofErr w:type="spellStart"/>
            <w:r>
              <w:t>retailer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BC8366F" w14:textId="77777777" w:rsidR="00445257" w:rsidRDefault="00000000">
            <w:r>
              <w:t xml:space="preserve">Integración API sin fricciones para </w:t>
            </w:r>
            <w:proofErr w:type="spellStart"/>
            <w:r>
              <w:t>embedded</w:t>
            </w:r>
            <w:proofErr w:type="spellEnd"/>
            <w:r>
              <w:t xml:space="preserve"> </w:t>
            </w:r>
            <w:proofErr w:type="spellStart"/>
            <w:r>
              <w:t>insurance</w:t>
            </w:r>
            <w:proofErr w:type="spellEnd"/>
            <w:r>
              <w:t>.</w:t>
            </w:r>
          </w:p>
        </w:tc>
      </w:tr>
      <w:tr w:rsidR="00445257" w14:paraId="360B5E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BE02EB" w14:textId="77777777" w:rsidR="00445257" w:rsidRDefault="00000000">
            <w: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682D1CE" w14:textId="77777777" w:rsidR="00445257" w:rsidRDefault="00000000">
            <w:r>
              <w:t>Regulador (Superintendencia Financiera)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B79CEA" w14:textId="77777777" w:rsidR="00445257" w:rsidRDefault="00000000">
            <w:r>
              <w:t>Trazabilidad, consentimiento y cumplimiento normativo.</w:t>
            </w:r>
          </w:p>
        </w:tc>
      </w:tr>
      <w:tr w:rsidR="00445257" w14:paraId="1DE7AD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3AF57F" w14:textId="77777777" w:rsidR="00445257" w:rsidRDefault="00000000">
            <w:r>
              <w:t>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E8F842" w14:textId="77777777" w:rsidR="00445257" w:rsidRDefault="00000000">
            <w:r>
              <w:t>Perito / Liquidador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88BDD7" w14:textId="77777777" w:rsidR="00445257" w:rsidRDefault="00000000">
            <w:r>
              <w:t>Acceso ágil a expedientes y evidencias de siniestros.</w:t>
            </w:r>
          </w:p>
        </w:tc>
      </w:tr>
      <w:tr w:rsidR="00445257" w14:paraId="5349C1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0A5DF5" w14:textId="77777777" w:rsidR="00445257" w:rsidRDefault="00000000">
            <w:r>
              <w:t>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C36FCD" w14:textId="77777777" w:rsidR="00445257" w:rsidRDefault="00000000">
            <w:r>
              <w:t>Equipo de Desarrollo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8A4BF40" w14:textId="77777777" w:rsidR="00445257" w:rsidRDefault="00000000">
            <w:r>
              <w:t>Claridad de arquitectura, deuda técnica baja y CI/CD eficiente.</w:t>
            </w:r>
          </w:p>
        </w:tc>
      </w:tr>
      <w:tr w:rsidR="00445257" w14:paraId="17DE3B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F8E883B" w14:textId="77777777" w:rsidR="00445257" w:rsidRDefault="00000000">
            <w:r>
              <w:t>11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0D0F29" w14:textId="77777777" w:rsidR="00445257" w:rsidRDefault="00000000">
            <w:r>
              <w:t>Equipo de QA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0B558F" w14:textId="77777777" w:rsidR="00445257" w:rsidRDefault="00000000">
            <w:r>
              <w:t>Cobertura de pruebas, ambientes estables y trazabilidad de defectos.</w:t>
            </w:r>
          </w:p>
        </w:tc>
      </w:tr>
      <w:tr w:rsidR="00445257" w14:paraId="6D100B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A11E98" w14:textId="77777777" w:rsidR="00445257" w:rsidRDefault="00000000">
            <w:r>
              <w:t>12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71F8809" w14:textId="77777777" w:rsidR="00445257" w:rsidRDefault="00000000">
            <w:r>
              <w:t>Gerente de Proyecto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B27A71" w14:textId="77777777" w:rsidR="00445257" w:rsidRDefault="00000000">
            <w:r>
              <w:t>Entregas a tiempo, gestión de riesgos y alineación con EDT.</w:t>
            </w:r>
          </w:p>
        </w:tc>
      </w:tr>
    </w:tbl>
    <w:p w14:paraId="1B8BA988" w14:textId="77777777" w:rsidR="00445257" w:rsidRDefault="00445257"/>
    <w:p w14:paraId="57F38AD1" w14:textId="77777777" w:rsidR="00445257" w:rsidRDefault="00000000">
      <w:pPr>
        <w:pStyle w:val="Ttulo1"/>
      </w:pPr>
      <w:r>
        <w:t>3. Identificación de Riesgos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3187"/>
        <w:gridCol w:w="1494"/>
        <w:gridCol w:w="1051"/>
        <w:gridCol w:w="3377"/>
      </w:tblGrid>
      <w:tr w:rsidR="00445257" w14:paraId="285D32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521478C" w14:textId="77777777" w:rsidR="00445257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58C2949C" w14:textId="77777777" w:rsidR="00445257" w:rsidRDefault="00000000">
            <w:r>
              <w:rPr>
                <w:b/>
                <w:color w:val="FFFFFF"/>
              </w:rPr>
              <w:t>Riesgo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BCBFAD7" w14:textId="77777777" w:rsidR="00445257" w:rsidRDefault="00000000">
            <w:r>
              <w:rPr>
                <w:b/>
                <w:color w:val="FFFFFF"/>
              </w:rPr>
              <w:t>Probabilidad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B62DF9A" w14:textId="77777777" w:rsidR="00445257" w:rsidRDefault="00000000">
            <w:r>
              <w:rPr>
                <w:b/>
                <w:color w:val="FFFFFF"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B28D416" w14:textId="77777777" w:rsidR="00445257" w:rsidRDefault="00000000">
            <w:r>
              <w:rPr>
                <w:b/>
                <w:color w:val="FFFFFF"/>
              </w:rPr>
              <w:t>Mitigación</w:t>
            </w:r>
          </w:p>
        </w:tc>
      </w:tr>
      <w:tr w:rsidR="00445257" w14:paraId="1FA63F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5C9392" w14:textId="77777777" w:rsidR="00445257" w:rsidRDefault="00000000">
            <w:r>
              <w:t>R1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95F9DD" w14:textId="77777777" w:rsidR="00445257" w:rsidRDefault="00000000">
            <w:r>
              <w:t xml:space="preserve">Incumplimiento regulatorio de Open </w:t>
            </w:r>
            <w:proofErr w:type="spellStart"/>
            <w:r>
              <w:t>Finance</w:t>
            </w:r>
            <w:proofErr w:type="spellEnd"/>
            <w:r>
              <w:t xml:space="preserve"> (Decreto 1297/2022) o Habeas Data (Ley 1581) durante la operación.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9F8B78" w14:textId="77777777" w:rsidR="00445257" w:rsidRDefault="00000000">
            <w:r>
              <w:t>Media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3B661EC" w14:textId="77777777" w:rsidR="00445257" w:rsidRDefault="00000000">
            <w:r>
              <w:t>Alto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6D760B7" w14:textId="77777777" w:rsidR="00445257" w:rsidRDefault="00000000">
            <w:r>
              <w:t>Componente centralizado de gestión de consentimiento con revocación ≤ 5 min; auditoría continua y revisión legal periódica.</w:t>
            </w:r>
          </w:p>
        </w:tc>
      </w:tr>
      <w:tr w:rsidR="00445257" w14:paraId="17DEF9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7D8FE44" w14:textId="77777777" w:rsidR="00445257" w:rsidRDefault="00000000">
            <w:r>
              <w:t>R2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9F54BC" w14:textId="77777777" w:rsidR="00445257" w:rsidRDefault="00000000">
            <w:r>
              <w:t xml:space="preserve">Latencia del motor de </w:t>
            </w:r>
            <w:proofErr w:type="spellStart"/>
            <w:r>
              <w:t>scoring</w:t>
            </w:r>
            <w:proofErr w:type="spellEnd"/>
            <w:r>
              <w:t xml:space="preserve"> supera los 200 ms p95 en horas pico, afectando la conversión.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D82AEEC" w14:textId="77777777" w:rsidR="00445257" w:rsidRDefault="00000000">
            <w:r>
              <w:t>Media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7D92E4" w14:textId="77777777" w:rsidR="00445257" w:rsidRDefault="00000000">
            <w:r>
              <w:t>Alto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78F1C0" w14:textId="77777777" w:rsidR="00445257" w:rsidRDefault="00000000">
            <w:r>
              <w:t xml:space="preserve">Caché Redis para resultados frecuentes; pruebas de rendimiento con </w:t>
            </w:r>
            <w:proofErr w:type="spellStart"/>
            <w:r>
              <w:t>JMeter</w:t>
            </w:r>
            <w:proofErr w:type="spellEnd"/>
            <w:r>
              <w:t xml:space="preserve"> desde Semana 5; optimización del modelo Python.</w:t>
            </w:r>
          </w:p>
        </w:tc>
      </w:tr>
      <w:tr w:rsidR="00445257" w14:paraId="1A59B5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1EA657" w14:textId="77777777" w:rsidR="00445257" w:rsidRDefault="00000000">
            <w:r>
              <w:t>R3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E03A2D" w14:textId="77777777" w:rsidR="00445257" w:rsidRDefault="00000000">
            <w:r>
              <w:t xml:space="preserve">Fallo de integración con proveedores externos (KYC/AML, pagos, firma electrónica) por cambios de </w:t>
            </w:r>
            <w:r>
              <w:lastRenderedPageBreak/>
              <w:t>API.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24950F" w14:textId="77777777" w:rsidR="00445257" w:rsidRDefault="00000000">
            <w:r>
              <w:lastRenderedPageBreak/>
              <w:t>Media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772993" w14:textId="77777777" w:rsidR="00445257" w:rsidRDefault="00000000">
            <w:r>
              <w:t>Alto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82F764" w14:textId="77777777" w:rsidR="00445257" w:rsidRDefault="00000000">
            <w:r>
              <w:t xml:space="preserve">Patrón Adapter por cada proveedor; contratos de API versionados; </w:t>
            </w:r>
            <w:proofErr w:type="spellStart"/>
            <w:r>
              <w:t>circuit</w:t>
            </w:r>
            <w:proofErr w:type="spellEnd"/>
            <w:r>
              <w:t xml:space="preserve"> breaker para degradación elegante.</w:t>
            </w:r>
          </w:p>
        </w:tc>
      </w:tr>
      <w:tr w:rsidR="00445257" w14:paraId="2F7DB3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9231C5" w14:textId="77777777" w:rsidR="00445257" w:rsidRDefault="00000000">
            <w:r>
              <w:t>R4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8C5996" w14:textId="77777777" w:rsidR="00445257" w:rsidRDefault="00000000">
            <w:r>
              <w:t>Brecha de seguridad en el manejo de PII o credenciales de pago (PCI-DSS).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855B579" w14:textId="77777777" w:rsidR="00445257" w:rsidRDefault="00000000">
            <w:r>
              <w:t>Baja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1F9E99" w14:textId="77777777" w:rsidR="00445257" w:rsidRDefault="00000000">
            <w:r>
              <w:t>Crítico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71443E7" w14:textId="77777777" w:rsidR="00445257" w:rsidRDefault="00000000">
            <w:proofErr w:type="spellStart"/>
            <w:r>
              <w:t>Tokenización</w:t>
            </w:r>
            <w:proofErr w:type="spellEnd"/>
            <w:r>
              <w:t xml:space="preserve"> de PII; cifrado en tránsito (TLS 1.3) y en reposo (AES-256); pruebas OWASP ZAP; gestión de secretos con </w:t>
            </w:r>
            <w:proofErr w:type="spellStart"/>
            <w:r>
              <w:t>vault</w:t>
            </w:r>
            <w:proofErr w:type="spellEnd"/>
            <w:r>
              <w:t>.</w:t>
            </w:r>
          </w:p>
        </w:tc>
      </w:tr>
      <w:tr w:rsidR="00445257" w14:paraId="1C0FA0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4FE9BF" w14:textId="77777777" w:rsidR="00445257" w:rsidRDefault="00000000">
            <w:r>
              <w:t>R5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C6E56F" w14:textId="77777777" w:rsidR="00445257" w:rsidRDefault="00000000">
            <w:r>
              <w:t>Retrasos en la expansión internacional por diferencias regulatorias o de infraestructura en nuevos mercados.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5C8AC5" w14:textId="77777777" w:rsidR="00445257" w:rsidRDefault="00000000">
            <w:r>
              <w:t>Alta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644914A" w14:textId="77777777" w:rsidR="00445257" w:rsidRDefault="00000000">
            <w:r>
              <w:t>Medio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F86A909" w14:textId="77777777" w:rsidR="00445257" w:rsidRDefault="00000000">
            <w:r>
              <w:t>Módulos desacoplados por dominio y región; entrada a nuevo país ≤ 4 semanas sin reescribir el núcleo del sistema.</w:t>
            </w:r>
          </w:p>
        </w:tc>
      </w:tr>
      <w:tr w:rsidR="00445257" w14:paraId="16CC76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876DB2" w14:textId="77777777" w:rsidR="00445257" w:rsidRDefault="00000000">
            <w:r>
              <w:t>R6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C8806B4" w14:textId="77777777" w:rsidR="00445257" w:rsidRDefault="00000000">
            <w:r>
              <w:t>Deuda técnica acumulada por adopción apresurada de arquitectura distribuida sin contratos de API estables.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75F458" w14:textId="77777777" w:rsidR="00445257" w:rsidRDefault="00000000">
            <w:r>
              <w:t>Alta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2B9C59" w14:textId="77777777" w:rsidR="00445257" w:rsidRDefault="00000000">
            <w:r>
              <w:t>Medio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19EE00" w14:textId="77777777" w:rsidR="00445257" w:rsidRDefault="00000000">
            <w:r>
              <w:t>Backlog de arquitectura priorizado (HA-01 a HA-10); revisiones arquitectónicas en cada entrega; pruebas de contrato.</w:t>
            </w:r>
          </w:p>
        </w:tc>
      </w:tr>
      <w:tr w:rsidR="00445257" w14:paraId="329394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F95966" w14:textId="77777777" w:rsidR="00445257" w:rsidRDefault="00000000">
            <w:r>
              <w:t>R7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E778B8" w14:textId="77777777" w:rsidR="00445257" w:rsidRDefault="00000000">
            <w:r>
              <w:t>Disponibilidad inferior al SLA de 99.9 % mensual por fallos en contenedores Docker o pérdida de conexión a Redis.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0EFC70" w14:textId="77777777" w:rsidR="00445257" w:rsidRDefault="00000000">
            <w:r>
              <w:t>Baja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F74D78" w14:textId="77777777" w:rsidR="00445257" w:rsidRDefault="00000000">
            <w:r>
              <w:t>Alto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63ED4E" w14:textId="77777777" w:rsidR="00445257" w:rsidRDefault="00000000">
            <w:r>
              <w:t xml:space="preserve">Health </w:t>
            </w:r>
            <w:proofErr w:type="spellStart"/>
            <w:r>
              <w:t>checks</w:t>
            </w:r>
            <w:proofErr w:type="spellEnd"/>
            <w:r>
              <w:t xml:space="preserve"> automáticos; reinicio de contenedores en &lt; 30 s; </w:t>
            </w:r>
            <w:proofErr w:type="spellStart"/>
            <w:r>
              <w:t>fallback</w:t>
            </w:r>
            <w:proofErr w:type="spellEnd"/>
            <w:r>
              <w:t xml:space="preserve"> directo a PostgreSQL si Redis no responde.</w:t>
            </w:r>
          </w:p>
        </w:tc>
      </w:tr>
    </w:tbl>
    <w:p w14:paraId="62BFDFD9" w14:textId="77777777" w:rsidR="00445257" w:rsidRDefault="00445257"/>
    <w:p w14:paraId="75FB7932" w14:textId="77777777" w:rsidR="00445257" w:rsidRDefault="00000000">
      <w:pPr>
        <w:pStyle w:val="Ttulo1"/>
      </w:pPr>
      <w:r>
        <w:t>4. Restricciones</w:t>
      </w:r>
    </w:p>
    <w:p w14:paraId="4B656C8C" w14:textId="77777777" w:rsidR="00445257" w:rsidRDefault="00000000">
      <w:pPr>
        <w:pStyle w:val="Ttulo2"/>
      </w:pPr>
      <w:r>
        <w:t>4.1 Restricciones de Negocio</w:t>
      </w:r>
    </w:p>
    <w:p w14:paraId="0D021A98" w14:textId="77777777" w:rsidR="00445257" w:rsidRDefault="00000000">
      <w:r>
        <w:rPr>
          <w:b/>
        </w:rPr>
        <w:t>Restricción 1 — Expansión de Plataforma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9"/>
        <w:gridCol w:w="7777"/>
      </w:tblGrid>
      <w:tr w:rsidR="00445257" w14:paraId="0F25C1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4C2E3A1" w14:textId="77777777" w:rsidR="00445257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3A369FC" w14:textId="77777777" w:rsidR="00445257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445257" w14:paraId="664A2E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68B028B" w14:textId="77777777" w:rsidR="00445257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ED5E5F" w14:textId="77777777" w:rsidR="00445257" w:rsidRDefault="00000000">
            <w:r>
              <w:t>La expansión de la plataforma a nuevos mercados regionales (México, Chile y Perú) debe completarse en un plazo máximo de 36 meses.</w:t>
            </w:r>
          </w:p>
        </w:tc>
      </w:tr>
      <w:tr w:rsidR="00445257" w14:paraId="585132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6D7F2F0" w14:textId="77777777" w:rsidR="00445257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8FCA4F" w14:textId="77777777" w:rsidR="00445257" w:rsidRDefault="00000000">
            <w:r>
              <w:t>CEO / Junta Directiva.</w:t>
            </w:r>
          </w:p>
        </w:tc>
      </w:tr>
      <w:tr w:rsidR="00445257" w14:paraId="33776F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E17F211" w14:textId="77777777" w:rsidR="00445257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AE441A" w14:textId="77777777" w:rsidR="00445257" w:rsidRDefault="00000000">
            <w:r>
              <w:t>Marco temporal estratégico para alcanzar 5 millones de pólizas activas y escalar el modelo en América Latina.</w:t>
            </w:r>
          </w:p>
        </w:tc>
      </w:tr>
      <w:tr w:rsidR="00445257" w14:paraId="7C6F7A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08048F67" w14:textId="77777777" w:rsidR="00445257" w:rsidRDefault="00000000">
            <w:r>
              <w:rPr>
                <w:b/>
              </w:rPr>
              <w:t xml:space="preserve">Impacto en </w:t>
            </w:r>
            <w:r>
              <w:rPr>
                <w:b/>
              </w:rPr>
              <w:lastRenderedPageBreak/>
              <w:t>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1FE1B71" w14:textId="77777777" w:rsidR="00445257" w:rsidRDefault="00000000">
            <w:r>
              <w:lastRenderedPageBreak/>
              <w:t xml:space="preserve">• Fronteras y módulos desacoplados por dominio y región: entrada a un nuevo </w:t>
            </w:r>
            <w:r>
              <w:lastRenderedPageBreak/>
              <w:t>país en ≤ 4 semanas sin reescribir el núcleo. • Patrones de abstracción e interfaces estables para pasarelas de pago, proveedores de datos y marcos regulatorios localizados.</w:t>
            </w:r>
          </w:p>
        </w:tc>
      </w:tr>
    </w:tbl>
    <w:p w14:paraId="5BB36A95" w14:textId="77777777" w:rsidR="00445257" w:rsidRDefault="00445257"/>
    <w:p w14:paraId="0D0CC028" w14:textId="77777777" w:rsidR="00445257" w:rsidRDefault="00000000">
      <w:r>
        <w:rPr>
          <w:b/>
        </w:rPr>
        <w:t>Restricción 2 — Operación de Perfilamiento y Suscripción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53"/>
        <w:gridCol w:w="7723"/>
      </w:tblGrid>
      <w:tr w:rsidR="00445257" w14:paraId="72B217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D3472D5" w14:textId="77777777" w:rsidR="00445257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02626FA" w14:textId="77777777" w:rsidR="00445257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445257" w14:paraId="2666B8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53277DF" w14:textId="77777777" w:rsidR="00445257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C2D7176" w14:textId="77777777" w:rsidR="00445257" w:rsidRDefault="00000000">
            <w:r>
              <w:t>La operación debe cumplir estrictamente con el marco normativo de Finanzas Abiertas (Decreto 1297 de 2022 y Circular Externa 004 de 2024) y la Ley de Habeas Data (Ley 1581) en Colombia.</w:t>
            </w:r>
          </w:p>
        </w:tc>
      </w:tr>
      <w:tr w:rsidR="00445257" w14:paraId="1F88DE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DC87608" w14:textId="77777777" w:rsidR="00445257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64E3EE" w14:textId="77777777" w:rsidR="00445257" w:rsidRDefault="00000000">
            <w:r>
              <w:t>Oficial de Cumplimiento / CISO / Legal.</w:t>
            </w:r>
          </w:p>
        </w:tc>
      </w:tr>
      <w:tr w:rsidR="00445257" w14:paraId="4F5E3F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0D93BC9" w14:textId="77777777" w:rsidR="00445257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D786E2" w14:textId="77777777" w:rsidR="00445257" w:rsidRDefault="00000000">
            <w:r>
              <w:t>Requisito regulatorio obligatorio de la Superintendencia Financiera para gestión consentida de datos financieros.</w:t>
            </w:r>
          </w:p>
        </w:tc>
      </w:tr>
      <w:tr w:rsidR="00445257" w14:paraId="4495E8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DA5C357" w14:textId="77777777" w:rsidR="00445257" w:rsidRDefault="00000000">
            <w:r>
              <w:rPr>
                <w:b/>
              </w:rPr>
              <w:t>Impacto en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43D6D9" w14:textId="77777777" w:rsidR="00445257" w:rsidRDefault="00000000">
            <w:r>
              <w:t xml:space="preserve">• Componente centralizado e inmutable de gestión de consentimiento; revocación efectiva ≤ 5 minutos. • </w:t>
            </w:r>
            <w:proofErr w:type="spellStart"/>
            <w:r>
              <w:t>Tokenización</w:t>
            </w:r>
            <w:proofErr w:type="spellEnd"/>
            <w:r>
              <w:t xml:space="preserve"> de PII, cifrado en tránsito y reposo, linaje y trazabilidad al 100 % de decisiones de </w:t>
            </w:r>
            <w:proofErr w:type="spellStart"/>
            <w:r>
              <w:t>pricing</w:t>
            </w:r>
            <w:proofErr w:type="spellEnd"/>
            <w:r>
              <w:t>.</w:t>
            </w:r>
          </w:p>
        </w:tc>
      </w:tr>
    </w:tbl>
    <w:p w14:paraId="45F4DEF1" w14:textId="77777777" w:rsidR="00445257" w:rsidRDefault="00445257"/>
    <w:p w14:paraId="5E19ACAC" w14:textId="77777777" w:rsidR="00445257" w:rsidRDefault="00000000">
      <w:pPr>
        <w:pStyle w:val="Ttulo2"/>
      </w:pPr>
      <w:r>
        <w:t>4.2 Restricciones de Tecnología</w:t>
      </w:r>
    </w:p>
    <w:p w14:paraId="1A023C9F" w14:textId="77777777" w:rsidR="00445257" w:rsidRDefault="00000000">
      <w:r>
        <w:rPr>
          <w:b/>
        </w:rPr>
        <w:t xml:space="preserve">Restricción 1 — Docker / Docker </w:t>
      </w:r>
      <w:proofErr w:type="spellStart"/>
      <w:r>
        <w:rPr>
          <w:b/>
        </w:rPr>
        <w:t>Compose</w:t>
      </w:r>
      <w:proofErr w:type="spellEnd"/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7611"/>
      </w:tblGrid>
      <w:tr w:rsidR="00445257" w14:paraId="483CA8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2DC5615" w14:textId="77777777" w:rsidR="00445257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9DF57EB" w14:textId="77777777" w:rsidR="00445257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445257" w14:paraId="0019BE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A1D6B7F" w14:textId="77777777" w:rsidR="00445257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5B1C685" w14:textId="77777777" w:rsidR="00445257" w:rsidRDefault="00000000"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y todos los microservicios deben empaquetarse e independizarse obligatoriamente en contenedores Docker y gestionarse mediante Docker </w:t>
            </w:r>
            <w:proofErr w:type="spellStart"/>
            <w:r>
              <w:t>Compose</w:t>
            </w:r>
            <w:proofErr w:type="spellEnd"/>
            <w:r>
              <w:t>.</w:t>
            </w:r>
          </w:p>
        </w:tc>
      </w:tr>
      <w:tr w:rsidR="00445257" w14:paraId="71D5BF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76BE3F12" w14:textId="77777777" w:rsidR="00445257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B867F7C" w14:textId="77777777" w:rsidR="00445257" w:rsidRDefault="00000000">
            <w:r>
              <w:t>Arquitecto de Software / Equipo de Infraestructura.</w:t>
            </w:r>
          </w:p>
        </w:tc>
      </w:tr>
      <w:tr w:rsidR="00445257" w14:paraId="1C2472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029B411" w14:textId="77777777" w:rsidR="00445257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EDB423" w14:textId="77777777" w:rsidR="00445257" w:rsidRDefault="00000000">
            <w:r>
              <w:t>Portabilidad, aislamiento entre ambientes y estandarización del despliegue sin dependencias del SO anfitrión.</w:t>
            </w:r>
          </w:p>
        </w:tc>
      </w:tr>
      <w:tr w:rsidR="00445257" w14:paraId="0BC830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3D5855F1" w14:textId="77777777" w:rsidR="00445257" w:rsidRDefault="00000000">
            <w:r>
              <w:rPr>
                <w:b/>
              </w:rPr>
              <w:t>Impacto en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E5D27A" w14:textId="77777777" w:rsidR="00445257" w:rsidRDefault="00000000">
            <w:r>
              <w:t>Ningún componente del servidor puede depender de configuraciones globales del SO anfitrión. Cada servicio debe empaquetarse con imágenes livianas.</w:t>
            </w:r>
          </w:p>
        </w:tc>
      </w:tr>
    </w:tbl>
    <w:p w14:paraId="19EE9A08" w14:textId="77777777" w:rsidR="00445257" w:rsidRDefault="00445257"/>
    <w:p w14:paraId="7197E109" w14:textId="77777777" w:rsidR="00445257" w:rsidRDefault="00000000">
      <w:r>
        <w:rPr>
          <w:b/>
        </w:rPr>
        <w:t>Restricción 2 — PostgreSQL + Redis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7685"/>
      </w:tblGrid>
      <w:tr w:rsidR="00445257" w14:paraId="5CE6A4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AA0FA56" w14:textId="77777777" w:rsidR="00445257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CB0923B" w14:textId="77777777" w:rsidR="00445257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445257" w14:paraId="318DE7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174FC4C6" w14:textId="77777777" w:rsidR="00445257" w:rsidRDefault="00000000">
            <w:r>
              <w:rPr>
                <w:b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3C9786" w14:textId="77777777" w:rsidR="00445257" w:rsidRDefault="00000000">
            <w:r>
              <w:t>El sistema está restringido a utilizar PostgreSQL como motor de base de datos relacional principal y Redis como motor de caché e intermediación de sesiones.</w:t>
            </w:r>
          </w:p>
        </w:tc>
      </w:tr>
      <w:tr w:rsidR="00445257" w14:paraId="08A5C3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BF0D185" w14:textId="77777777" w:rsidR="00445257" w:rsidRDefault="00000000">
            <w:r>
              <w:rPr>
                <w:b/>
              </w:rPr>
              <w:t>Usuario que expresa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A297C8" w14:textId="77777777" w:rsidR="00445257" w:rsidRDefault="00000000">
            <w:r>
              <w:t>Arquitecto de Software.</w:t>
            </w:r>
          </w:p>
        </w:tc>
      </w:tr>
      <w:tr w:rsidR="00445257" w14:paraId="3EC383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A592C24" w14:textId="77777777" w:rsidR="00445257" w:rsidRDefault="00000000">
            <w:r>
              <w:rPr>
                <w:b/>
              </w:rPr>
              <w:t>Justificación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9FF35E6" w14:textId="77777777" w:rsidR="00445257" w:rsidRDefault="00000000">
            <w:r>
              <w:t>Estandarización de la pila de datos existente; consistencia ACID en transacciones financieras y optimización de rendimiento.</w:t>
            </w:r>
          </w:p>
        </w:tc>
      </w:tr>
      <w:tr w:rsidR="00445257" w14:paraId="392F97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6DA097B5" w14:textId="77777777" w:rsidR="00445257" w:rsidRDefault="00000000">
            <w:r>
              <w:rPr>
                <w:b/>
              </w:rPr>
              <w:t>Impacto en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E8FC9B" w14:textId="77777777" w:rsidR="00445257" w:rsidRDefault="00000000">
            <w:r>
              <w:t>No se permite el uso de bases de datos documentales (NoSQL) como almacenamiento primario transaccional. El diseño del esquema debe ser relacional con capa de caché de baja latencia.</w:t>
            </w:r>
          </w:p>
        </w:tc>
      </w:tr>
    </w:tbl>
    <w:p w14:paraId="71E371B3" w14:textId="77777777" w:rsidR="00445257" w:rsidRDefault="00445257"/>
    <w:p w14:paraId="3D8DD8BD" w14:textId="77777777" w:rsidR="00445257" w:rsidRDefault="00000000">
      <w:pPr>
        <w:pStyle w:val="Ttulo1"/>
      </w:pPr>
      <w:r>
        <w:t>5. Requisitos de Calidad y Esfuerzo Estimado</w:t>
      </w:r>
    </w:p>
    <w:p w14:paraId="05C0961E" w14:textId="77777777" w:rsidR="00445257" w:rsidRDefault="00000000">
      <w:pPr>
        <w:pStyle w:val="Ttulo2"/>
      </w:pPr>
      <w:r>
        <w:t>5.1 Requisitos de Calidad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1730"/>
        <w:gridCol w:w="1943"/>
        <w:gridCol w:w="1780"/>
        <w:gridCol w:w="1530"/>
        <w:gridCol w:w="1967"/>
      </w:tblGrid>
      <w:tr w:rsidR="00445257" w14:paraId="39BF7A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84BAD01" w14:textId="77777777" w:rsidR="00445257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A38CA5E" w14:textId="77777777" w:rsidR="00445257" w:rsidRDefault="00000000">
            <w:r>
              <w:rPr>
                <w:b/>
                <w:color w:val="FFFFFF"/>
              </w:rPr>
              <w:t>Atributo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FB84B2C" w14:textId="77777777" w:rsidR="00445257" w:rsidRDefault="00000000">
            <w:r>
              <w:rPr>
                <w:b/>
                <w:color w:val="FFFFFF"/>
              </w:rPr>
              <w:t>Estímulo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C28945A" w14:textId="77777777" w:rsidR="00445257" w:rsidRDefault="00000000">
            <w:r>
              <w:rPr>
                <w:b/>
                <w:color w:val="FFFFFF"/>
              </w:rPr>
              <w:t>Entorno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2BD01178" w14:textId="77777777" w:rsidR="00445257" w:rsidRDefault="00000000">
            <w:r>
              <w:rPr>
                <w:b/>
                <w:color w:val="FFFFFF"/>
              </w:rPr>
              <w:t>Artefacto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683AFB16" w14:textId="77777777" w:rsidR="00445257" w:rsidRDefault="00000000">
            <w:r>
              <w:rPr>
                <w:b/>
                <w:color w:val="FFFFFF"/>
              </w:rPr>
              <w:t>Medida de respuesta</w:t>
            </w:r>
          </w:p>
        </w:tc>
      </w:tr>
      <w:tr w:rsidR="00445257" w14:paraId="2FC02A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1D1DFBF" w14:textId="77777777" w:rsidR="00445257" w:rsidRDefault="00000000">
            <w:r>
              <w:t>RQ1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814BE5" w14:textId="77777777" w:rsidR="00445257" w:rsidRDefault="00000000">
            <w:r>
              <w:t>Latencia / Desempeño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498229" w14:textId="77777777" w:rsidR="00445257" w:rsidRDefault="00000000">
            <w:r>
              <w:t xml:space="preserve">Solicitud de </w:t>
            </w:r>
            <w:proofErr w:type="spellStart"/>
            <w:r>
              <w:t>scoring</w:t>
            </w:r>
            <w:proofErr w:type="spellEnd"/>
            <w:r>
              <w:t xml:space="preserve"> crediticio en hora pico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1333F0" w14:textId="77777777" w:rsidR="00445257" w:rsidRDefault="00000000">
            <w:r>
              <w:t>Alta concurrencia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8BC5E3E" w14:textId="77777777" w:rsidR="00445257" w:rsidRDefault="00000000">
            <w:r>
              <w:t xml:space="preserve">API REST Flask / Servicio de IA de </w:t>
            </w:r>
            <w:proofErr w:type="spellStart"/>
            <w:r>
              <w:t>Scoring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786B7C" w14:textId="77777777" w:rsidR="00445257" w:rsidRDefault="00000000">
            <w:r>
              <w:t xml:space="preserve">95 % de peticiones de </w:t>
            </w:r>
            <w:proofErr w:type="spellStart"/>
            <w:r>
              <w:t>scoring</w:t>
            </w:r>
            <w:proofErr w:type="spellEnd"/>
            <w:r>
              <w:t xml:space="preserve"> &lt; 200 ms</w:t>
            </w:r>
          </w:p>
        </w:tc>
      </w:tr>
      <w:tr w:rsidR="00445257" w14:paraId="2329C3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236C90" w14:textId="77777777" w:rsidR="00445257" w:rsidRDefault="00000000">
            <w:r>
              <w:t>RQ2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08D10A" w14:textId="77777777" w:rsidR="00445257" w:rsidRDefault="00000000">
            <w:r>
              <w:t>Facilidad de Modificación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4848B8" w14:textId="77777777" w:rsidR="00445257" w:rsidRDefault="00000000">
            <w:r>
              <w:t>Integración de nueva pasarela de pagos regional o actualización del modelo de 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51A9DC0" w14:textId="77777777" w:rsidR="00445257" w:rsidRDefault="00000000">
            <w:r>
              <w:t>Fase de mantenimiento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229F9A" w14:textId="77777777" w:rsidR="00445257" w:rsidRDefault="00000000">
            <w:r>
              <w:t>Módulo de integración API / Servicios Flask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0518A0D" w14:textId="77777777" w:rsidR="00445257" w:rsidRDefault="00000000">
            <w:r>
              <w:t>Modificación + pruebas + despliegue del nuevo conector &lt; 4 horas hombre</w:t>
            </w:r>
          </w:p>
        </w:tc>
      </w:tr>
      <w:tr w:rsidR="00445257" w14:paraId="37D975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43FE638" w14:textId="77777777" w:rsidR="00445257" w:rsidRDefault="00000000">
            <w:r>
              <w:t>RQ3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6FBEB1" w14:textId="77777777" w:rsidR="00445257" w:rsidRDefault="00000000">
            <w:r>
              <w:t>Disponibilidad / Tolerancia a Fallos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F39006" w14:textId="77777777" w:rsidR="00445257" w:rsidRDefault="00000000">
            <w:r>
              <w:t xml:space="preserve">Caída de contenedor Docker o desconexión de </w:t>
            </w:r>
            <w:r>
              <w:lastRenderedPageBreak/>
              <w:t>Redis en producción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E91C74" w14:textId="77777777" w:rsidR="00445257" w:rsidRDefault="00000000">
            <w:r>
              <w:lastRenderedPageBreak/>
              <w:t>Producción bajo carga continua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F58C06" w14:textId="77777777" w:rsidR="00445257" w:rsidRDefault="00000000">
            <w:r>
              <w:t xml:space="preserve">Docker </w:t>
            </w:r>
            <w:proofErr w:type="spellStart"/>
            <w:r>
              <w:t>Compose</w:t>
            </w:r>
            <w:proofErr w:type="spellEnd"/>
            <w:r>
              <w:t xml:space="preserve"> / PostgreSQL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5097BA6" w14:textId="77777777" w:rsidR="00445257" w:rsidRDefault="00000000">
            <w:r>
              <w:t>Recuperación &lt; 30 s; disponibilidad ≥ 99,9 % mensual</w:t>
            </w:r>
          </w:p>
        </w:tc>
      </w:tr>
    </w:tbl>
    <w:p w14:paraId="2C780D09" w14:textId="77777777" w:rsidR="00445257" w:rsidRDefault="00445257"/>
    <w:p w14:paraId="1498D81B" w14:textId="77777777" w:rsidR="00445257" w:rsidRDefault="00000000">
      <w:pPr>
        <w:pStyle w:val="Ttulo2"/>
      </w:pPr>
      <w:r>
        <w:t>5.2 Esfuerzo Estimado — Estructura de Desglose del Trabajo (EDT)</w:t>
      </w:r>
    </w:p>
    <w:p w14:paraId="46A74260" w14:textId="77777777" w:rsidR="00445257" w:rsidRDefault="00000000">
      <w:r>
        <w:t>El equipo está conformado por 4 integrantes con dedicación de 12 h/persona/semana durante 8 semanas, para un total de 384 horas. La distribución por paquete de trabajo es la siguiente:</w:t>
      </w:r>
    </w:p>
    <w:p w14:paraId="19AA2A0E" w14:textId="77777777" w:rsidR="00445257" w:rsidRDefault="00445257"/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2191"/>
        <w:gridCol w:w="2184"/>
        <w:gridCol w:w="1459"/>
      </w:tblGrid>
      <w:tr w:rsidR="00445257" w14:paraId="7BFED5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01C1202" w14:textId="77777777" w:rsidR="00445257" w:rsidRDefault="00000000">
            <w:r>
              <w:rPr>
                <w:b/>
                <w:color w:val="FFFFFF"/>
              </w:rPr>
              <w:t>Paquete de trabajo (EDT)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3FEBB609" w14:textId="77777777" w:rsidR="00445257" w:rsidRDefault="00000000">
            <w:r>
              <w:rPr>
                <w:b/>
                <w:color w:val="FFFFFF"/>
              </w:rPr>
              <w:t>Semanas activas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50B352E8" w14:textId="77777777" w:rsidR="00445257" w:rsidRDefault="00000000">
            <w:r>
              <w:rPr>
                <w:b/>
                <w:color w:val="FFFFFF"/>
              </w:rPr>
              <w:t>Horas estimadas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0A806DBE" w14:textId="77777777" w:rsidR="00445257" w:rsidRDefault="00000000">
            <w:r>
              <w:rPr>
                <w:b/>
                <w:color w:val="FFFFFF"/>
              </w:rPr>
              <w:t>% del total</w:t>
            </w:r>
          </w:p>
        </w:tc>
      </w:tr>
      <w:tr w:rsidR="00445257" w14:paraId="506C18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473603" w14:textId="77777777" w:rsidR="00445257" w:rsidRDefault="00000000">
            <w:r>
              <w:t>1. Gerencia del proyecto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8EFFB6A" w14:textId="77777777" w:rsidR="00445257" w:rsidRDefault="00000000">
            <w:r>
              <w:t>1–8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8CE1C1" w14:textId="77777777" w:rsidR="00445257" w:rsidRDefault="00000000">
            <w:r>
              <w:t>30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CBD978F" w14:textId="77777777" w:rsidR="00445257" w:rsidRDefault="00000000">
            <w:r>
              <w:t>8 %</w:t>
            </w:r>
          </w:p>
        </w:tc>
      </w:tr>
      <w:tr w:rsidR="00445257" w14:paraId="44C97C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DFE4262" w14:textId="77777777" w:rsidR="00445257" w:rsidRDefault="00000000">
            <w:r>
              <w:t>2. Análisis del negocio y alcance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459220" w14:textId="77777777" w:rsidR="00445257" w:rsidRDefault="00000000">
            <w:r>
              <w:t>1–2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E03BE60" w14:textId="77777777" w:rsidR="00445257" w:rsidRDefault="00000000">
            <w:r>
              <w:t>36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AB402C" w14:textId="77777777" w:rsidR="00445257" w:rsidRDefault="00000000">
            <w:r>
              <w:t>9 %</w:t>
            </w:r>
          </w:p>
        </w:tc>
      </w:tr>
      <w:tr w:rsidR="00445257" w14:paraId="016672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BBF948" w14:textId="77777777" w:rsidR="00445257" w:rsidRDefault="00000000">
            <w:r>
              <w:t>3. Diseño técnico y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56E5BF" w14:textId="77777777" w:rsidR="00445257" w:rsidRDefault="00000000">
            <w:r>
              <w:t>1–3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B898C6" w14:textId="77777777" w:rsidR="00445257" w:rsidRDefault="00000000">
            <w:r>
              <w:t>60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C98E56" w14:textId="77777777" w:rsidR="00445257" w:rsidRDefault="00000000">
            <w:r>
              <w:t>16 %</w:t>
            </w:r>
          </w:p>
        </w:tc>
      </w:tr>
      <w:tr w:rsidR="00445257" w14:paraId="18D5C7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23428C2" w14:textId="77777777" w:rsidR="00445257" w:rsidRDefault="00000000">
            <w:r>
              <w:t>4. Desarrollo del canal Web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0C8819" w14:textId="77777777" w:rsidR="00445257" w:rsidRDefault="00000000">
            <w:r>
              <w:t>3–6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9CE026C" w14:textId="77777777" w:rsidR="00445257" w:rsidRDefault="00000000">
            <w:r>
              <w:t>72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3FACD3" w14:textId="77777777" w:rsidR="00445257" w:rsidRDefault="00000000">
            <w:r>
              <w:t>19 %</w:t>
            </w:r>
          </w:p>
        </w:tc>
      </w:tr>
      <w:tr w:rsidR="00445257" w14:paraId="295897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65E443" w14:textId="77777777" w:rsidR="00445257" w:rsidRDefault="00000000">
            <w:r>
              <w:t>5. Desarrollo del canal Móvil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F2D6C0" w14:textId="77777777" w:rsidR="00445257" w:rsidRDefault="00000000">
            <w:r>
              <w:t>4–6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E25599E" w14:textId="77777777" w:rsidR="00445257" w:rsidRDefault="00000000">
            <w:r>
              <w:t>60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9EBE262" w14:textId="77777777" w:rsidR="00445257" w:rsidRDefault="00000000">
            <w:r>
              <w:t>16 %</w:t>
            </w:r>
          </w:p>
        </w:tc>
      </w:tr>
      <w:tr w:rsidR="00445257" w14:paraId="6B23A6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6AE6CCD" w14:textId="77777777" w:rsidR="00445257" w:rsidRDefault="00000000">
            <w:r>
              <w:t>6. Integraciones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C90E16B" w14:textId="77777777" w:rsidR="00445257" w:rsidRDefault="00000000">
            <w:r>
              <w:t>5–7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24A3C1" w14:textId="77777777" w:rsidR="00445257" w:rsidRDefault="00000000">
            <w:r>
              <w:t>48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1AB13CF" w14:textId="77777777" w:rsidR="00445257" w:rsidRDefault="00000000">
            <w:r>
              <w:t>12 %</w:t>
            </w:r>
          </w:p>
        </w:tc>
      </w:tr>
      <w:tr w:rsidR="00445257" w14:paraId="5188EB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1C5751A" w14:textId="77777777" w:rsidR="00445257" w:rsidRDefault="00000000">
            <w:r>
              <w:t>7. Pruebas y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F2A5A36" w14:textId="77777777" w:rsidR="00445257" w:rsidRDefault="00000000">
            <w:r>
              <w:t>5–8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6D39572" w14:textId="77777777" w:rsidR="00445257" w:rsidRDefault="00000000">
            <w:r>
              <w:t>54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19095B" w14:textId="77777777" w:rsidR="00445257" w:rsidRDefault="00000000">
            <w:r>
              <w:t>14 %</w:t>
            </w:r>
          </w:p>
        </w:tc>
      </w:tr>
      <w:tr w:rsidR="00445257" w14:paraId="4BCA60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CB33EF9" w14:textId="77777777" w:rsidR="00445257" w:rsidRDefault="00000000">
            <w:r>
              <w:t>8. Entrega y documentación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3838237" w14:textId="77777777" w:rsidR="00445257" w:rsidRDefault="00000000">
            <w:r>
              <w:t>7–8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2754D0" w14:textId="77777777" w:rsidR="00445257" w:rsidRDefault="00000000">
            <w:r>
              <w:t>24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AEDB1CA" w14:textId="77777777" w:rsidR="00445257" w:rsidRDefault="00000000">
            <w:r>
              <w:t>6 %</w:t>
            </w:r>
          </w:p>
        </w:tc>
      </w:tr>
      <w:tr w:rsidR="00445257" w14:paraId="07DCB6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2DE06CD0" w14:textId="77777777" w:rsidR="00445257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BB3FE8" w14:textId="77777777" w:rsidR="00445257" w:rsidRDefault="00445257"/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4B8F60AD" w14:textId="77777777" w:rsidR="00445257" w:rsidRDefault="00000000">
            <w:r>
              <w:rPr>
                <w:b/>
              </w:rPr>
              <w:t>384 h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</w:tcPr>
          <w:p w14:paraId="567CABEE" w14:textId="77777777" w:rsidR="00445257" w:rsidRDefault="00000000">
            <w:r>
              <w:rPr>
                <w:b/>
              </w:rPr>
              <w:t>100 %</w:t>
            </w:r>
          </w:p>
        </w:tc>
      </w:tr>
    </w:tbl>
    <w:p w14:paraId="39545169" w14:textId="77777777" w:rsidR="00445257" w:rsidRDefault="00445257"/>
    <w:p w14:paraId="72C3EB3A" w14:textId="77777777" w:rsidR="00445257" w:rsidRDefault="00000000">
      <w:r>
        <w:rPr>
          <w:i/>
          <w:color w:val="595959"/>
        </w:rPr>
        <w:t>Nota: Las horas de cada paquete representan el esfuerzo combinado de los 4 integrantes del equipo. La gerencia del proyecto incluye planeación, seguimiento, gestión de riesgos y comunicaciones a lo largo de las 8 semanas.</w:t>
      </w:r>
    </w:p>
    <w:p w14:paraId="61241837" w14:textId="77777777" w:rsidR="00445257" w:rsidRDefault="00445257"/>
    <w:p w14:paraId="40C1D178" w14:textId="77777777" w:rsidR="00445257" w:rsidRDefault="00000000">
      <w:pPr>
        <w:pStyle w:val="Ttulo1"/>
      </w:pPr>
      <w:r>
        <w:t>6. Modelo de Contexto</w:t>
      </w:r>
    </w:p>
    <w:p w14:paraId="668DBA1D" w14:textId="77777777" w:rsidR="00445257" w:rsidRDefault="00000000">
      <w:r>
        <w:t xml:space="preserve">El modelo de contexto delimita el sistema Solventa y sus interacciones con actores externos. Muestra los canales de entrada (Web, Móvil, API de socios), los usuarios del sistema (tomador, asegurado, perito, administrador) y los sistemas externos con los que se integra (Open </w:t>
      </w:r>
      <w:proofErr w:type="spellStart"/>
      <w:r>
        <w:t>Finance</w:t>
      </w:r>
      <w:proofErr w:type="spellEnd"/>
      <w:r>
        <w:t>, KYC/AML, pasarelas de pago, firma electrónica, notificaciones).</w:t>
      </w:r>
    </w:p>
    <w:p w14:paraId="6629DC59" w14:textId="77777777" w:rsidR="00445257" w:rsidRDefault="00445257"/>
    <w:p w14:paraId="70ED526F" w14:textId="3380E253" w:rsidR="00445257" w:rsidRDefault="009C2936">
      <w:r>
        <w:rPr>
          <w:noProof/>
        </w:rPr>
        <w:lastRenderedPageBreak/>
        <w:drawing>
          <wp:inline distT="0" distB="0" distL="0" distR="0" wp14:anchorId="72776929" wp14:editId="0E8F1D6D">
            <wp:extent cx="5943600" cy="3795395"/>
            <wp:effectExtent l="0" t="0" r="0" b="0"/>
            <wp:docPr id="76705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53705" name="Imagen 7670537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05705" w14:textId="77777777" w:rsidR="00445257" w:rsidRDefault="00000000">
      <w:pPr>
        <w:pStyle w:val="Ttulo1"/>
      </w:pPr>
      <w:r>
        <w:t>7. Modelo de Dominio</w:t>
      </w:r>
    </w:p>
    <w:p w14:paraId="65974DD4" w14:textId="77777777" w:rsidR="00445257" w:rsidRDefault="00000000">
      <w:r>
        <w:t xml:space="preserve">El modelo de dominio representa las entidades principales del negocio asegurador y sus relaciones. Las entidades centrales son: Cliente, Consentimiento, </w:t>
      </w:r>
      <w:proofErr w:type="spellStart"/>
      <w:r>
        <w:t>PerfilDeRiesgo</w:t>
      </w:r>
      <w:proofErr w:type="spellEnd"/>
      <w:r>
        <w:t>, Cotización, Ramo, Suscripción, Póliza, Siniestro, Pago, Socio y Prima. El modelo guía el diseño del esquema relacional en PostgreSQL.</w:t>
      </w:r>
    </w:p>
    <w:p w14:paraId="43136FB5" w14:textId="7ED267E6" w:rsidR="00445257" w:rsidRDefault="009C2936">
      <w:r>
        <w:rPr>
          <w:noProof/>
        </w:rPr>
        <w:drawing>
          <wp:inline distT="0" distB="0" distL="0" distR="0" wp14:anchorId="68E8CE13" wp14:editId="31C72B51">
            <wp:extent cx="5943600" cy="2698115"/>
            <wp:effectExtent l="0" t="0" r="0" b="0"/>
            <wp:docPr id="9719532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3215" name="Imagen 9719532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4EFD" w14:textId="77777777" w:rsidR="00445257" w:rsidRDefault="00000000">
      <w:pPr>
        <w:pStyle w:val="Ttulo1"/>
      </w:pPr>
      <w:r>
        <w:lastRenderedPageBreak/>
        <w:t>8. Modelo de Componentes</w:t>
      </w:r>
    </w:p>
    <w:p w14:paraId="1FCB24B9" w14:textId="73E18B69" w:rsidR="00445257" w:rsidRDefault="00000000">
      <w:r>
        <w:t xml:space="preserve">El modelo de componentes describe la arquitectura interna del sistema organizada en tres capas: (1) Capa de Acceso — API Gateway, BFF Web, BFF Móvil, WAF; (2) Core de Negocio — 8 microservicios empaquetados en Docker (Cotización, Suscripción, Pólizas, Siniestros, Pagos, KYC, Consentimiento, Notificaciones); (3) Adaptadores Externos — conectores para Open </w:t>
      </w:r>
      <w:proofErr w:type="spellStart"/>
      <w:r>
        <w:t>Finance</w:t>
      </w:r>
      <w:proofErr w:type="spellEnd"/>
      <w:r>
        <w:t xml:space="preserve">, KYC/AML, pasarelas de pago, firma electrónica, notificaciones </w:t>
      </w:r>
      <w:proofErr w:type="spellStart"/>
      <w:r>
        <w:t>push</w:t>
      </w:r>
      <w:proofErr w:type="spellEnd"/>
      <w:r>
        <w:t xml:space="preserve"> y geolocalización. La comunicación asíncrona entre servicios se gestiona con un bus de eventos interno.</w:t>
      </w:r>
    </w:p>
    <w:p w14:paraId="28D7DABB" w14:textId="5DB90FCC" w:rsidR="00445257" w:rsidRDefault="009C2936">
      <w:r>
        <w:rPr>
          <w:noProof/>
        </w:rPr>
        <w:drawing>
          <wp:inline distT="0" distB="0" distL="0" distR="0" wp14:anchorId="1F9FE578" wp14:editId="1FB2AFFD">
            <wp:extent cx="5943600" cy="3434715"/>
            <wp:effectExtent l="0" t="0" r="0" b="0"/>
            <wp:docPr id="16356113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11340" name="Imagen 16356113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0807" w14:textId="77777777" w:rsidR="00445257" w:rsidRDefault="00000000">
      <w:pPr>
        <w:pStyle w:val="Ttulo1"/>
      </w:pPr>
      <w:r>
        <w:t>9. Modelo de Despliegue</w:t>
      </w:r>
    </w:p>
    <w:p w14:paraId="1C13FB6B" w14:textId="77777777" w:rsidR="00445257" w:rsidRDefault="00000000">
      <w:r>
        <w:t xml:space="preserve">El modelo de despliegue describe la infraestructura de ejecución. Todos los microservicios se despliegan como contenedores Docker orquestados con Docker </w:t>
      </w:r>
      <w:proofErr w:type="spellStart"/>
      <w:r>
        <w:t>Compose</w:t>
      </w:r>
      <w:proofErr w:type="spellEnd"/>
      <w:r>
        <w:t xml:space="preserve">. La persistencia primaria utiliza PostgreSQL; Redis actúa como capa de caché y </w:t>
      </w:r>
      <w:proofErr w:type="spellStart"/>
      <w:r>
        <w:t>broker</w:t>
      </w:r>
      <w:proofErr w:type="spellEnd"/>
      <w:r>
        <w:t xml:space="preserve"> de sesiones. El balanceo de carga, la terminación TLS y el enrutamiento de tráfico se gestionan a nivel de infraestructura. Se contempla una región de recuperación ante desastres (DR) para garantizar el SLA de disponibilidad del 99,9 %.</w:t>
      </w:r>
    </w:p>
    <w:p w14:paraId="45A0E98C" w14:textId="77777777" w:rsidR="00445257" w:rsidRDefault="00445257"/>
    <w:p w14:paraId="4162D779" w14:textId="4CEBF1A1" w:rsidR="00445257" w:rsidRDefault="009C2936">
      <w:r>
        <w:rPr>
          <w:noProof/>
        </w:rPr>
        <w:lastRenderedPageBreak/>
        <w:drawing>
          <wp:inline distT="0" distB="0" distL="0" distR="0" wp14:anchorId="12A18B9A" wp14:editId="1B485BCD">
            <wp:extent cx="5943600" cy="3683635"/>
            <wp:effectExtent l="0" t="0" r="0" b="0"/>
            <wp:docPr id="76797617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6173" name="Imagen 7679761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1081" w14:textId="77777777" w:rsidR="00445257" w:rsidRDefault="00000000">
      <w:pPr>
        <w:pStyle w:val="Ttulo1"/>
      </w:pPr>
      <w:r>
        <w:t>10. Backlog de Arquitectura</w:t>
      </w:r>
    </w:p>
    <w:tbl>
      <w:tblPr>
        <w:tblStyle w:val="Tablaconcuadrcula"/>
        <w:tblW w:w="5000" w:type="pct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2"/>
        <w:gridCol w:w="5281"/>
        <w:gridCol w:w="2460"/>
        <w:gridCol w:w="1133"/>
      </w:tblGrid>
      <w:tr w:rsidR="00445257" w14:paraId="4D65EB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612ECA5" w14:textId="77777777" w:rsidR="00445257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5F0D503A" w14:textId="77777777" w:rsidR="00445257" w:rsidRDefault="00000000">
            <w:r>
              <w:rPr>
                <w:b/>
                <w:color w:val="FFFFFF"/>
              </w:rPr>
              <w:t>Historia de Arquitectura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1CCBBC8E" w14:textId="77777777" w:rsidR="00445257" w:rsidRDefault="00000000">
            <w:r>
              <w:rPr>
                <w:b/>
                <w:color w:val="FFFFFF"/>
              </w:rPr>
              <w:t>Atributo de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F5496"/>
          </w:tcPr>
          <w:p w14:paraId="4F0D5440" w14:textId="77777777" w:rsidR="00445257" w:rsidRDefault="00000000">
            <w:r>
              <w:rPr>
                <w:b/>
                <w:color w:val="FFFFFF"/>
              </w:rPr>
              <w:t>Prioridad</w:t>
            </w:r>
          </w:p>
        </w:tc>
      </w:tr>
      <w:tr w:rsidR="00445257" w14:paraId="777013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A10F531" w14:textId="77777777" w:rsidR="00445257" w:rsidRDefault="00000000">
            <w:r>
              <w:t>HA-01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79B4299" w14:textId="77777777" w:rsidR="00445257" w:rsidRDefault="00000000">
            <w:r>
              <w:t xml:space="preserve">Implementar caché Redis para resultados de </w:t>
            </w:r>
            <w:proofErr w:type="spellStart"/>
            <w:r>
              <w:t>scoring</w:t>
            </w:r>
            <w:proofErr w:type="spellEnd"/>
            <w:r>
              <w:t xml:space="preserve"> frecuentes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A56D3B3" w14:textId="77777777" w:rsidR="00445257" w:rsidRDefault="00000000">
            <w:r>
              <w:t>Latencia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047E59" w14:textId="77777777" w:rsidR="00445257" w:rsidRDefault="00000000">
            <w:r>
              <w:t>Alta</w:t>
            </w:r>
          </w:p>
        </w:tc>
      </w:tr>
      <w:tr w:rsidR="00445257" w14:paraId="3F9C58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1BBD443" w14:textId="77777777" w:rsidR="00445257" w:rsidRDefault="00000000">
            <w:r>
              <w:t>HA-02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DCAD1DA" w14:textId="77777777" w:rsidR="00445257" w:rsidRDefault="00000000">
            <w:r>
              <w:t xml:space="preserve">Diseñar patrón </w:t>
            </w:r>
            <w:proofErr w:type="spellStart"/>
            <w:r>
              <w:t>Adapter</w:t>
            </w:r>
            <w:proofErr w:type="spellEnd"/>
            <w:r>
              <w:t xml:space="preserve"> para cada proveedor externo (KYC, pagos, firma)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8E164EC" w14:textId="77777777" w:rsidR="00445257" w:rsidRDefault="00000000">
            <w:r>
              <w:t>Modificabilidad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9E98B92" w14:textId="77777777" w:rsidR="00445257" w:rsidRDefault="00000000">
            <w:r>
              <w:t>Alta</w:t>
            </w:r>
          </w:p>
        </w:tc>
      </w:tr>
      <w:tr w:rsidR="00445257" w14:paraId="6C681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BEBAA4A" w14:textId="77777777" w:rsidR="00445257" w:rsidRDefault="00000000">
            <w:r>
              <w:t>HA-03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F0CD79" w14:textId="77777777" w:rsidR="00445257" w:rsidRDefault="00000000">
            <w:r>
              <w:t>Componente centralizado de consentimiento con revocación ≤ 5 min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30766B6" w14:textId="77777777" w:rsidR="00445257" w:rsidRDefault="00000000">
            <w:r>
              <w:t>Seguridad /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FC2019" w14:textId="77777777" w:rsidR="00445257" w:rsidRDefault="00000000">
            <w:r>
              <w:t>Alta</w:t>
            </w:r>
          </w:p>
        </w:tc>
      </w:tr>
      <w:tr w:rsidR="00445257" w14:paraId="175E02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0AAFD76" w14:textId="77777777" w:rsidR="00445257" w:rsidRDefault="00000000">
            <w:r>
              <w:t>HA-04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CA93DF" w14:textId="77777777" w:rsidR="00445257" w:rsidRDefault="00000000">
            <w:r>
              <w:t xml:space="preserve">Health </w:t>
            </w:r>
            <w:proofErr w:type="spellStart"/>
            <w:r>
              <w:t>checks</w:t>
            </w:r>
            <w:proofErr w:type="spellEnd"/>
            <w:r>
              <w:t xml:space="preserve"> y reinicio automático de contenedores Docker en &lt; 30 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897C386" w14:textId="77777777" w:rsidR="00445257" w:rsidRDefault="00000000">
            <w:r>
              <w:t>Disponibilidad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34F313" w14:textId="77777777" w:rsidR="00445257" w:rsidRDefault="00000000">
            <w:r>
              <w:t>Alta</w:t>
            </w:r>
          </w:p>
        </w:tc>
      </w:tr>
      <w:tr w:rsidR="00445257" w14:paraId="54DEDA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C9030C6" w14:textId="77777777" w:rsidR="00445257" w:rsidRDefault="00000000">
            <w:r>
              <w:t>HA-05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2ABC43F" w14:textId="77777777" w:rsidR="00445257" w:rsidRDefault="00000000">
            <w:proofErr w:type="spellStart"/>
            <w:r>
              <w:t>Tokenización</w:t>
            </w:r>
            <w:proofErr w:type="spellEnd"/>
            <w:r>
              <w:t xml:space="preserve"> de PII y cifrado AES-256 en reposo / TLS 1.3 en tránsito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944DB9" w14:textId="77777777" w:rsidR="00445257" w:rsidRDefault="00000000">
            <w:r>
              <w:t>Seguridad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768BD2" w14:textId="77777777" w:rsidR="00445257" w:rsidRDefault="00000000">
            <w:r>
              <w:t>Alta</w:t>
            </w:r>
          </w:p>
        </w:tc>
      </w:tr>
      <w:tr w:rsidR="00445257" w14:paraId="2ECF0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46E20B4" w14:textId="77777777" w:rsidR="00445257" w:rsidRDefault="00000000">
            <w:r>
              <w:t>HA-06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E9471A" w14:textId="77777777" w:rsidR="00445257" w:rsidRDefault="00000000">
            <w:r>
              <w:t>Módulos desacoplados por región para entrada a nuevo país en ≤ 4 semanas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595C48" w14:textId="77777777" w:rsidR="00445257" w:rsidRDefault="00000000">
            <w:r>
              <w:t>Modificabilidad / Escalabilidad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635F39A" w14:textId="77777777" w:rsidR="00445257" w:rsidRDefault="00000000">
            <w:r>
              <w:t>Media</w:t>
            </w:r>
          </w:p>
        </w:tc>
      </w:tr>
      <w:tr w:rsidR="00445257" w14:paraId="0FDC4D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189A87" w14:textId="77777777" w:rsidR="00445257" w:rsidRDefault="00000000">
            <w:r>
              <w:lastRenderedPageBreak/>
              <w:t>HA-07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ED06BB" w14:textId="77777777" w:rsidR="00445257" w:rsidRDefault="00000000">
            <w:proofErr w:type="spellStart"/>
            <w:r>
              <w:t>Circuit</w:t>
            </w:r>
            <w:proofErr w:type="spellEnd"/>
            <w:r>
              <w:t xml:space="preserve"> breaker para degradación elegante ante fallos de proveedores externos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A281E09" w14:textId="77777777" w:rsidR="00445257" w:rsidRDefault="00000000">
            <w:r>
              <w:t>Disponibilidad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014FA8B" w14:textId="77777777" w:rsidR="00445257" w:rsidRDefault="00000000">
            <w:r>
              <w:t>Media</w:t>
            </w:r>
          </w:p>
        </w:tc>
      </w:tr>
      <w:tr w:rsidR="00445257" w14:paraId="14C2FC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19A2C79" w14:textId="77777777" w:rsidR="00445257" w:rsidRDefault="00000000">
            <w:r>
              <w:t>HA-08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A8C66B" w14:textId="77777777" w:rsidR="00445257" w:rsidRDefault="00000000">
            <w:r>
              <w:t>Internacionalización (i18n) parametrizable por mercado (CO/MX/CL/PE)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FD0D401" w14:textId="77777777" w:rsidR="00445257" w:rsidRDefault="00000000">
            <w:r>
              <w:t>Modificabilidad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962221A" w14:textId="77777777" w:rsidR="00445257" w:rsidRDefault="00000000">
            <w:r>
              <w:t>Media</w:t>
            </w:r>
          </w:p>
        </w:tc>
      </w:tr>
      <w:tr w:rsidR="00445257" w14:paraId="2E2B2E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76F4814" w14:textId="77777777" w:rsidR="00445257" w:rsidRDefault="00000000">
            <w:r>
              <w:t>HA-09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32CF186" w14:textId="77777777" w:rsidR="00445257" w:rsidRDefault="00000000">
            <w:r>
              <w:t xml:space="preserve">Pipeline CI/CD con pruebas automáticas antes de despliegue en 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E3A5562" w14:textId="77777777" w:rsidR="00445257" w:rsidRDefault="00000000">
            <w:r>
              <w:t>Modificabilidad / Calidad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EA50D0" w14:textId="77777777" w:rsidR="00445257" w:rsidRDefault="00000000">
            <w:r>
              <w:t>Media</w:t>
            </w:r>
          </w:p>
        </w:tc>
      </w:tr>
      <w:tr w:rsidR="00445257" w14:paraId="622F88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B515FD" w14:textId="77777777" w:rsidR="00445257" w:rsidRDefault="00000000">
            <w:r>
              <w:t>HA-10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3197276" w14:textId="77777777" w:rsidR="00445257" w:rsidRDefault="00000000">
            <w:r>
              <w:t xml:space="preserve">Linaje y trazabilidad al 100 % de decisiones de </w:t>
            </w:r>
            <w:proofErr w:type="spellStart"/>
            <w:r>
              <w:t>pricing</w:t>
            </w:r>
            <w:proofErr w:type="spellEnd"/>
            <w:r>
              <w:t xml:space="preserve"> para auditoría regulatoria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248F3C1" w14:textId="77777777" w:rsidR="00445257" w:rsidRDefault="00000000">
            <w:r>
              <w:t>Seguridad / Cumplimiento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3BC199F" w14:textId="77777777" w:rsidR="00445257" w:rsidRDefault="00000000">
            <w:r>
              <w:t>Alta</w:t>
            </w:r>
          </w:p>
        </w:tc>
      </w:tr>
    </w:tbl>
    <w:p w14:paraId="5492C3F9" w14:textId="77777777" w:rsidR="00445257" w:rsidRDefault="00445257"/>
    <w:sectPr w:rsidR="004452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5257"/>
    <w:rsid w:val="00445257"/>
    <w:rsid w:val="006C38EC"/>
    <w:rsid w:val="009C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647DB7"/>
  <w15:docId w15:val="{101E77E3-E4DA-2142-BCF0-5EEF4DCB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2"/>
      <w:szCs w:val="22"/>
    </w:rPr>
  </w:style>
  <w:style w:type="paragraph" w:styleId="Ttulo1">
    <w:name w:val="heading 1"/>
    <w:basedOn w:val="Normal"/>
    <w:uiPriority w:val="9"/>
    <w:qFormat/>
    <w:pPr>
      <w:spacing w:before="240"/>
      <w:outlineLvl w:val="0"/>
    </w:pPr>
    <w:rPr>
      <w:b/>
      <w:color w:val="1E3A5F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200" w:after="80"/>
      <w:outlineLvl w:val="1"/>
    </w:pPr>
    <w:rPr>
      <w:b/>
      <w:color w:val="2F549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60" w:type="dxa"/>
        <w:left w:w="108" w:type="dxa"/>
        <w:bottom w:w="60" w:type="dxa"/>
        <w:right w:w="108" w:type="dxa"/>
      </w:tcMar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1944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ALEJANDRO GOMEZ ALARCON</cp:lastModifiedBy>
  <cp:revision>2</cp:revision>
  <dcterms:created xsi:type="dcterms:W3CDTF">2026-08-17T04:54:00Z</dcterms:created>
  <dcterms:modified xsi:type="dcterms:W3CDTF">2026-08-17T04:58:00Z</dcterms:modified>
</cp:coreProperties>
</file>