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mc="http://schemas.openxmlformats.org/markup-compatibility/2006">
  <w:body>
    <w:p>
      <w:pPr>
        <w:spacing w:after="60"/>
      </w:pPr>
    </w:p>
    <w:p>
      <w:pPr>
        <w:jc w:val="center"/>
      </w:pPr>
      <w:r>
        <w:rPr>
          <w:b/>
          <w:bCs/>
          <w:sz w:val="22"/>
          <w:szCs w:val="22"/>
          <w:color w:val="1F4E79"/>
        </w:rPr>
        <w:t xml:space="preserve">UNIVERSIDAD DE LOS ANDES</w:t>
      </w:r>
    </w:p>
    <w:p>
      <w:pPr>
        <w:jc w:val="center"/>
      </w:pPr>
      <w:r>
        <w:rPr>
          <w:sz w:val="20"/>
          <w:szCs w:val="20"/>
        </w:rPr>
        <w:t xml:space="preserve">Maestría en Ingeniería de Software — MISW4501</w:t>
      </w:r>
    </w:p>
    <w:p>
      <w:pPr>
        <w:jc w:val="center"/>
      </w:pPr>
      <w:r>
        <w:rPr>
          <w:sz w:val="20"/>
          <w:szCs w:val="20"/>
        </w:rPr>
        <w:t xml:space="preserve">Proyecto Integrador — Grupo 2</w:t>
      </w:r>
    </w:p>
    <w:p>
      <w:pPr>
        <w:spacing w:after="60"/>
      </w:pPr>
    </w:p>
    <w:p>
      <w:pPr>
        <w:jc w:val="center"/>
        <w:spacing w:before="480" w:after="160"/>
      </w:pPr>
      <w:r>
        <w:rPr>
          <w:b/>
          <w:bCs/>
          <w:sz w:val="46"/>
          <w:szCs w:val="46"/>
          <w:color w:val="1F4E79"/>
        </w:rPr>
        <w:t xml:space="preserve">Escenarios de Calidad (ASRs) — Solventa</w:t>
      </w:r>
    </w:p>
    <w:p>
      <w:pPr>
        <w:jc w:val="center"/>
        <w:spacing w:after="240"/>
      </w:pPr>
      <w:r>
        <w:rPr>
          <w:b/>
          <w:bCs/>
          <w:sz w:val="32"/>
          <w:szCs w:val="32"/>
          <w:color w:val="2E75B6"/>
        </w:rPr>
        <w:t xml:space="preserve">e Historias de Usuario</w:t>
      </w:r>
    </w:p>
    <w:p>
      <w:pPr>
        <w:jc w:val="center"/>
      </w:pPr>
      <w:r>
        <w:rPr>
          <w:sz w:val="20"/>
          <w:szCs w:val="20"/>
          <w:color w:val="666666"/>
        </w:rPr>
        <w:t xml:space="preserve">Versión 1.1  ·  Semana 3  ·  20 de agosto de 2026</w:t>
      </w:r>
    </w:p>
    <w:p>
      <w:pPr>
        <w:spacing w:after="60"/>
      </w:pPr>
    </w:p>
    <w:p>
      <w:pPr>
        <w:spacing w:after="60"/>
      </w:pP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rPr>
          <w:tblHeader/>
        </w:trPr>
        <w:tc>
          <w:tcPr>
            <w:shd w:val="clear" w:color="auto" w:fill="1F4E79"/>
          </w:tcPr>
          <w:p>
            <w:r>
              <w:rPr>
                <w:b/>
                <w:bCs/>
                <w:color w:val="FFFFFF"/>
                <w:sz w:val="20"/>
                <w:szCs w:val="20"/>
              </w:rPr>
              <w:t xml:space="preserve">Integrante</w:t>
            </w:r>
          </w:p>
        </w:tc>
        <w:tc>
          <w:tcPr>
            <w:shd w:val="clear" w:color="auto" w:fill="1F4E79"/>
          </w:tcPr>
          <w:p>
            <w:r>
              <w:rPr>
                <w:b/>
                <w:bCs/>
                <w:color w:val="FFFFFF"/>
                <w:sz w:val="20"/>
                <w:szCs w:val="20"/>
              </w:rPr>
              <w:t xml:space="preserve">Rol</w:t>
            </w:r>
          </w:p>
        </w:tc>
      </w:tr>
      <w:tr>
        <w:tc>
          <w:tcPr>
            <w:shd w:val="clear" w:color="auto" w:fill="FFFFFF"/>
          </w:tcPr>
          <w:p>
            <w:r>
              <w:rPr>
                <w:color w:val="222222"/>
                <w:sz w:val="20"/>
                <w:szCs w:val="20"/>
              </w:rPr>
              <w:t xml:space="preserve">Jazmin Natalia Córdoba</w:t>
            </w:r>
          </w:p>
        </w:tc>
        <w:tc>
          <w:tcPr>
            <w:shd w:val="clear" w:color="auto" w:fill="FFFFFF"/>
          </w:tcPr>
          <w:p>
            <w:r>
              <w:rPr>
                <w:color w:val="222222"/>
                <w:sz w:val="20"/>
                <w:szCs w:val="20"/>
              </w:rPr>
              <w:t xml:space="preserve">Coordinadora — Usabilidad</w:t>
            </w:r>
          </w:p>
        </w:tc>
      </w:tr>
      <w:tr>
        <w:tc>
          <w:tcPr>
            <w:shd w:val="clear" w:color="auto" w:fill="FFFFFF"/>
          </w:tcPr>
          <w:p>
            <w:r>
              <w:rPr>
                <w:color w:val="222222"/>
                <w:sz w:val="20"/>
                <w:szCs w:val="20"/>
              </w:rPr>
              <w:t xml:space="preserve">Juan Esteban Mejía</w:t>
            </w:r>
          </w:p>
        </w:tc>
        <w:tc>
          <w:tcPr>
            <w:shd w:val="clear" w:color="auto" w:fill="FFFFFF"/>
          </w:tcPr>
          <w:p>
            <w:r>
              <w:rPr>
                <w:color w:val="222222"/>
                <w:sz w:val="20"/>
                <w:szCs w:val="20"/>
              </w:rPr>
              <w:t xml:space="preserve">Integración y API</w:t>
            </w:r>
          </w:p>
        </w:tc>
      </w:tr>
      <w:tr>
        <w:tc>
          <w:tcPr>
            <w:shd w:val="clear" w:color="auto" w:fill="FFFFFF"/>
          </w:tcPr>
          <w:p>
            <w:r>
              <w:rPr>
                <w:color w:val="222222"/>
                <w:sz w:val="20"/>
                <w:szCs w:val="20"/>
              </w:rPr>
              <w:t xml:space="preserve">Miguel Alejandro Gómez</w:t>
            </w:r>
          </w:p>
        </w:tc>
        <w:tc>
          <w:tcPr>
            <w:shd w:val="clear" w:color="auto" w:fill="FFFFFF"/>
          </w:tcPr>
          <w:p>
            <w:r>
              <w:rPr>
                <w:color w:val="222222"/>
                <w:sz w:val="20"/>
                <w:szCs w:val="20"/>
              </w:rPr>
              <w:t xml:space="preserve">Rendimiento y Seguridad</w:t>
            </w:r>
          </w:p>
        </w:tc>
      </w:tr>
      <w:tr>
        <w:tc>
          <w:tcPr>
            <w:shd w:val="clear" w:color="auto" w:fill="FFFFFF"/>
          </w:tcPr>
          <w:p>
            <w:r>
              <w:rPr>
                <w:color w:val="222222"/>
                <w:sz w:val="20"/>
                <w:szCs w:val="20"/>
              </w:rPr>
              <w:t xml:space="preserve">Angie Natalia Arandio</w:t>
            </w:r>
          </w:p>
        </w:tc>
        <w:tc>
          <w:tcPr>
            <w:shd w:val="clear" w:color="auto" w:fill="FFFFFF"/>
          </w:tcPr>
          <w:p>
            <w:r>
              <w:rPr>
                <w:color w:val="222222"/>
                <w:sz w:val="20"/>
                <w:szCs w:val="20"/>
              </w:rPr>
              <w:t xml:space="preserve">Unitarias y Módulo</w:t>
            </w:r>
          </w:p>
        </w:tc>
      </w:tr>
    </w:tbl>
    <w:p>
      <w:pPr>
        <w:spacing w:after="60"/>
      </w:pPr>
    </w:p>
    <w:p>
      <w:pPr>
        <w:spacing w:after="60"/>
      </w:pPr>
    </w:p>
    <w:p>
      <w:pPr>
        <w:pStyle w:val="H1"/>
      </w:pPr>
      <w:r>
        <w:t xml:space="preserve">Sección 1: Escenarios de Atributos de Calidad (ASR)</w:t>
      </w:r>
    </w:p>
    <w:p>
      <w:r>
        <w:t xml:space="preserve">Los siguientes 9 escenarios de calidad fueron definidos usando el formato SEI/Bass (6 campos: fuente del estímulo, estímulo, ambiente, artefacto, respuesta y medida de respuesta). Cada ASR incluye además la frase narrativa 'Como &lt;fuente&gt;, cuando &lt;estímulo&gt;, dado que el ambiente es &lt;ambiente&gt;, quiero que &lt;respuesta&gt;, esto debe suceder &lt;medida de respuesta&gt;', está vinculado a una historia de usuario de arquitectura en Jira, y tiene sus dependencias explícitas con otras historias del backlog.</w:t>
      </w:r>
    </w:p>
    <w:p>
      <w:pPr>
        <w:spacing w:after="60"/>
      </w:pP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rPr>
          <w:tblHeader/>
        </w:trPr>
        <w:tc>
          <w:tcPr>
            <w:shd w:val="clear" w:color="auto" w:fill="1F4E79"/>
          </w:tcPr>
          <w:p>
            <w:r>
              <w:rPr>
                <w:b/>
                <w:bCs/>
                <w:color w:val="FFFFFF"/>
                <w:sz w:val="20"/>
                <w:szCs w:val="20"/>
              </w:rPr>
              <w:t xml:space="preserve">ASR</w:t>
            </w:r>
          </w:p>
        </w:tc>
        <w:tc>
          <w:tcPr>
            <w:shd w:val="clear" w:color="auto" w:fill="1F4E79"/>
          </w:tcPr>
          <w:p>
            <w:r>
              <w:rPr>
                <w:b/>
                <w:bCs/>
                <w:color w:val="FFFFFF"/>
                <w:sz w:val="20"/>
                <w:szCs w:val="20"/>
              </w:rPr>
              <w:t xml:space="preserve">Atributo de calidad</w:t>
            </w:r>
          </w:p>
        </w:tc>
        <w:tc>
          <w:tcPr>
            <w:shd w:val="clear" w:color="auto" w:fill="1F4E79"/>
          </w:tcPr>
          <w:p>
            <w:r>
              <w:rPr>
                <w:b/>
                <w:bCs/>
                <w:color w:val="FFFFFF"/>
                <w:sz w:val="20"/>
                <w:szCs w:val="20"/>
              </w:rPr>
              <w:t xml:space="preserve">Historia Jira</w:t>
            </w:r>
          </w:p>
        </w:tc>
        <w:tc>
          <w:tcPr>
            <w:shd w:val="clear" w:color="auto" w:fill="1F4E79"/>
          </w:tcPr>
          <w:p>
            <w:r>
              <w:rPr>
                <w:b/>
                <w:bCs/>
                <w:color w:val="FFFFFF"/>
                <w:sz w:val="20"/>
                <w:szCs w:val="20"/>
              </w:rPr>
              <w:t xml:space="preserve">Medida clave</w:t>
            </w:r>
          </w:p>
        </w:tc>
      </w:tr>
      <w:tr>
        <w:tc>
          <w:tcPr>
            <w:shd w:val="clear" w:color="auto" w:fill="FFFFFF"/>
          </w:tcPr>
          <w:p>
            <w:r>
              <w:rPr>
                <w:color w:val="222222"/>
                <w:sz w:val="20"/>
                <w:szCs w:val="20"/>
              </w:rPr>
              <w:t xml:space="preserve">ASR-1.1</w:t>
            </w:r>
          </w:p>
        </w:tc>
        <w:tc>
          <w:tcPr>
            <w:shd w:val="clear" w:color="auto" w:fill="FFFFFF"/>
          </w:tcPr>
          <w:p>
            <w:r>
              <w:rPr>
                <w:color w:val="222222"/>
                <w:sz w:val="20"/>
                <w:szCs w:val="20"/>
              </w:rPr>
              <w:t xml:space="preserve">Latencia</w:t>
            </w:r>
          </w:p>
        </w:tc>
        <w:tc>
          <w:tcPr>
            <w:shd w:val="clear" w:color="auto" w:fill="FFFFFF"/>
          </w:tcPr>
          <w:p>
            <w:r>
              <w:rPr>
                <w:color w:val="222222"/>
                <w:sz w:val="20"/>
                <w:szCs w:val="20"/>
              </w:rPr>
              <w:t xml:space="preserve">SOL-28</w:t>
            </w:r>
          </w:p>
        </w:tc>
        <w:tc>
          <w:tcPr>
            <w:shd w:val="clear" w:color="auto" w:fill="FFFFFF"/>
          </w:tcPr>
          <w:p>
            <w:r>
              <w:rPr>
                <w:color w:val="222222"/>
                <w:sz w:val="20"/>
                <w:szCs w:val="20"/>
              </w:rPr>
              <w:t xml:space="preserve">p95 &lt; 200ms con 500 req/min</w:t>
            </w:r>
          </w:p>
        </w:tc>
      </w:tr>
      <w:tr>
        <w:tc>
          <w:tcPr>
            <w:shd w:val="clear" w:color="auto" w:fill="FFFFFF"/>
          </w:tcPr>
          <w:p>
            <w:r>
              <w:rPr>
                <w:color w:val="222222"/>
                <w:sz w:val="20"/>
                <w:szCs w:val="20"/>
              </w:rPr>
              <w:t xml:space="preserve">ASR-1.2</w:t>
            </w:r>
          </w:p>
        </w:tc>
        <w:tc>
          <w:tcPr>
            <w:shd w:val="clear" w:color="auto" w:fill="FFFFFF"/>
          </w:tcPr>
          <w:p>
            <w:r>
              <w:rPr>
                <w:color w:val="222222"/>
                <w:sz w:val="20"/>
                <w:szCs w:val="20"/>
              </w:rPr>
              <w:t xml:space="preserve">Latencia</w:t>
            </w:r>
          </w:p>
        </w:tc>
        <w:tc>
          <w:tcPr>
            <w:shd w:val="clear" w:color="auto" w:fill="FFFFFF"/>
          </w:tcPr>
          <w:p>
            <w:r>
              <w:rPr>
                <w:color w:val="222222"/>
                <w:sz w:val="20"/>
                <w:szCs w:val="20"/>
              </w:rPr>
              <w:t xml:space="preserve">SOL-37</w:t>
            </w:r>
          </w:p>
        </w:tc>
        <w:tc>
          <w:tcPr>
            <w:shd w:val="clear" w:color="auto" w:fill="FFFFFF"/>
          </w:tcPr>
          <w:p>
            <w:r>
              <w:rPr>
                <w:color w:val="222222"/>
                <w:sz w:val="20"/>
                <w:szCs w:val="20"/>
              </w:rPr>
              <w:t xml:space="preserve">p95 &lt; 200ms desde caché, 0% pérdida</w:t>
            </w:r>
          </w:p>
        </w:tc>
      </w:tr>
      <w:tr>
        <w:tc>
          <w:tcPr>
            <w:shd w:val="clear" w:color="auto" w:fill="FFFFFF"/>
          </w:tcPr>
          <w:p>
            <w:r>
              <w:rPr>
                <w:color w:val="222222"/>
                <w:sz w:val="20"/>
                <w:szCs w:val="20"/>
              </w:rPr>
              <w:t xml:space="preserve">ASR-2.1</w:t>
            </w:r>
          </w:p>
        </w:tc>
        <w:tc>
          <w:tcPr>
            <w:shd w:val="clear" w:color="auto" w:fill="FFFFFF"/>
          </w:tcPr>
          <w:p>
            <w:r>
              <w:rPr>
                <w:color w:val="222222"/>
                <w:sz w:val="20"/>
                <w:szCs w:val="20"/>
              </w:rPr>
              <w:t xml:space="preserve">Modificabilidad</w:t>
            </w:r>
          </w:p>
        </w:tc>
        <w:tc>
          <w:tcPr>
            <w:shd w:val="clear" w:color="auto" w:fill="FFFFFF"/>
          </w:tcPr>
          <w:p>
            <w:r>
              <w:rPr>
                <w:color w:val="222222"/>
                <w:sz w:val="20"/>
                <w:szCs w:val="20"/>
              </w:rPr>
              <w:t xml:space="preserve">SOL-20</w:t>
            </w:r>
          </w:p>
        </w:tc>
        <w:tc>
          <w:tcPr>
            <w:shd w:val="clear" w:color="auto" w:fill="FFFFFF"/>
          </w:tcPr>
          <w:p>
            <w:r>
              <w:rPr>
                <w:color w:val="222222"/>
                <w:sz w:val="20"/>
                <w:szCs w:val="20"/>
              </w:rPr>
              <w:t xml:space="preserve">&lt; 4 horas-hombre, 0 cambios en core</w:t>
            </w:r>
          </w:p>
        </w:tc>
      </w:tr>
      <w:tr>
        <w:tc>
          <w:tcPr>
            <w:shd w:val="clear" w:color="auto" w:fill="FFFFFF"/>
          </w:tcPr>
          <w:p>
            <w:r>
              <w:rPr>
                <w:color w:val="222222"/>
                <w:sz w:val="20"/>
                <w:szCs w:val="20"/>
              </w:rPr>
              <w:t xml:space="preserve">ASR-2.2</w:t>
            </w:r>
          </w:p>
        </w:tc>
        <w:tc>
          <w:tcPr>
            <w:shd w:val="clear" w:color="auto" w:fill="FFFFFF"/>
          </w:tcPr>
          <w:p>
            <w:r>
              <w:rPr>
                <w:color w:val="222222"/>
                <w:sz w:val="20"/>
                <w:szCs w:val="20"/>
              </w:rPr>
              <w:t xml:space="preserve">Modificabilidad</w:t>
            </w:r>
          </w:p>
        </w:tc>
        <w:tc>
          <w:tcPr>
            <w:shd w:val="clear" w:color="auto" w:fill="FFFFFF"/>
          </w:tcPr>
          <w:p>
            <w:r>
              <w:rPr>
                <w:color w:val="222222"/>
                <w:sz w:val="20"/>
                <w:szCs w:val="20"/>
              </w:rPr>
              <w:t xml:space="preserve">SOL-21</w:t>
            </w:r>
          </w:p>
        </w:tc>
        <w:tc>
          <w:tcPr>
            <w:shd w:val="clear" w:color="auto" w:fill="FFFFFF"/>
          </w:tcPr>
          <w:p>
            <w:r>
              <w:rPr>
                <w:color w:val="222222"/>
                <w:sz w:val="20"/>
                <w:szCs w:val="20"/>
              </w:rPr>
              <w:t xml:space="preserve">≤ 2 semanas, 0 cambios en motor rating</w:t>
            </w:r>
          </w:p>
        </w:tc>
      </w:tr>
      <w:tr>
        <w:tc>
          <w:tcPr>
            <w:shd w:val="clear" w:color="auto" w:fill="FFFFFF"/>
          </w:tcPr>
          <w:p>
            <w:r>
              <w:rPr>
                <w:color w:val="222222"/>
                <w:sz w:val="20"/>
                <w:szCs w:val="20"/>
              </w:rPr>
              <w:t xml:space="preserve">ASR-3.1</w:t>
            </w:r>
          </w:p>
        </w:tc>
        <w:tc>
          <w:tcPr>
            <w:shd w:val="clear" w:color="auto" w:fill="FFFFFF"/>
          </w:tcPr>
          <w:p>
            <w:r>
              <w:rPr>
                <w:color w:val="222222"/>
                <w:sz w:val="20"/>
                <w:szCs w:val="20"/>
              </w:rPr>
              <w:t xml:space="preserve">Disponibilidad</w:t>
            </w:r>
          </w:p>
        </w:tc>
        <w:tc>
          <w:tcPr>
            <w:shd w:val="clear" w:color="auto" w:fill="FFFFFF"/>
          </w:tcPr>
          <w:p>
            <w:r>
              <w:rPr>
                <w:color w:val="222222"/>
                <w:sz w:val="20"/>
                <w:szCs w:val="20"/>
              </w:rPr>
              <w:t xml:space="preserve">SOL-29</w:t>
            </w:r>
          </w:p>
        </w:tc>
        <w:tc>
          <w:tcPr>
            <w:shd w:val="clear" w:color="auto" w:fill="FFFFFF"/>
          </w:tcPr>
          <w:p>
            <w:r>
              <w:rPr>
                <w:color w:val="222222"/>
                <w:sz w:val="20"/>
                <w:szCs w:val="20"/>
              </w:rPr>
              <w:t xml:space="preserve">Recuperación &lt; 30s, ≥ 99.9% disp.</w:t>
            </w:r>
          </w:p>
        </w:tc>
      </w:tr>
      <w:tr>
        <w:tc>
          <w:tcPr>
            <w:shd w:val="clear" w:color="auto" w:fill="FFFFFF"/>
          </w:tcPr>
          <w:p>
            <w:r>
              <w:rPr>
                <w:color w:val="222222"/>
                <w:sz w:val="20"/>
                <w:szCs w:val="20"/>
              </w:rPr>
              <w:t xml:space="preserve">ASR-3.2</w:t>
            </w:r>
          </w:p>
        </w:tc>
        <w:tc>
          <w:tcPr>
            <w:shd w:val="clear" w:color="auto" w:fill="FFFFFF"/>
          </w:tcPr>
          <w:p>
            <w:r>
              <w:rPr>
                <w:color w:val="222222"/>
                <w:sz w:val="20"/>
                <w:szCs w:val="20"/>
              </w:rPr>
              <w:t xml:space="preserve">Disponibilidad</w:t>
            </w:r>
          </w:p>
        </w:tc>
        <w:tc>
          <w:tcPr>
            <w:shd w:val="clear" w:color="auto" w:fill="FFFFFF"/>
          </w:tcPr>
          <w:p>
            <w:r>
              <w:rPr>
                <w:color w:val="222222"/>
                <w:sz w:val="20"/>
                <w:szCs w:val="20"/>
              </w:rPr>
              <w:t xml:space="preserve">SOL-43</w:t>
            </w:r>
          </w:p>
        </w:tc>
        <w:tc>
          <w:tcPr>
            <w:shd w:val="clear" w:color="auto" w:fill="FFFFFF"/>
          </w:tcPr>
          <w:p>
            <w:r>
              <w:rPr>
                <w:color w:val="222222"/>
                <w:sz w:val="20"/>
                <w:szCs w:val="20"/>
              </w:rPr>
              <w:t xml:space="preserve">RTO ≤ 10 min, RPO ≤ 30s</w:t>
            </w:r>
          </w:p>
        </w:tc>
      </w:tr>
      <w:tr>
        <w:tc>
          <w:tcPr>
            <w:shd w:val="clear" w:color="auto" w:fill="FFFFFF"/>
          </w:tcPr>
          <w:p>
            <w:r>
              <w:rPr>
                <w:color w:val="222222"/>
                <w:sz w:val="20"/>
                <w:szCs w:val="20"/>
              </w:rPr>
              <w:t xml:space="preserve">ASR-3.3</w:t>
            </w:r>
          </w:p>
        </w:tc>
        <w:tc>
          <w:tcPr>
            <w:shd w:val="clear" w:color="auto" w:fill="FFFFFF"/>
          </w:tcPr>
          <w:p>
            <w:r>
              <w:rPr>
                <w:color w:val="222222"/>
                <w:sz w:val="20"/>
                <w:szCs w:val="20"/>
              </w:rPr>
              <w:t xml:space="preserve">Disponibilidad</w:t>
            </w:r>
          </w:p>
        </w:tc>
        <w:tc>
          <w:tcPr>
            <w:shd w:val="clear" w:color="auto" w:fill="FFFFFF"/>
          </w:tcPr>
          <w:p>
            <w:r>
              <w:rPr>
                <w:color w:val="222222"/>
                <w:sz w:val="20"/>
                <w:szCs w:val="20"/>
              </w:rPr>
              <w:t xml:space="preserve">SOL-44</w:t>
            </w:r>
          </w:p>
        </w:tc>
        <w:tc>
          <w:tcPr>
            <w:shd w:val="clear" w:color="auto" w:fill="FFFFFF"/>
          </w:tcPr>
          <w:p>
            <w:r>
              <w:rPr>
                <w:color w:val="222222"/>
                <w:sz w:val="20"/>
                <w:szCs w:val="20"/>
              </w:rPr>
              <w:t xml:space="preserve">100% consultas offline, sync ≤ 10s</w:t>
            </w:r>
          </w:p>
        </w:tc>
      </w:tr>
      <w:tr>
        <w:tc>
          <w:tcPr>
            <w:shd w:val="clear" w:color="auto" w:fill="FFFFFF"/>
          </w:tcPr>
          <w:p>
            <w:r>
              <w:rPr>
                <w:color w:val="222222"/>
                <w:sz w:val="20"/>
                <w:szCs w:val="20"/>
              </w:rPr>
              <w:t xml:space="preserve">ASR-4.1</w:t>
            </w:r>
          </w:p>
        </w:tc>
        <w:tc>
          <w:tcPr>
            <w:shd w:val="clear" w:color="auto" w:fill="FFFFFF"/>
          </w:tcPr>
          <w:p>
            <w:r>
              <w:rPr>
                <w:color w:val="222222"/>
                <w:sz w:val="20"/>
                <w:szCs w:val="20"/>
              </w:rPr>
              <w:t xml:space="preserve">Seguridad</w:t>
            </w:r>
          </w:p>
        </w:tc>
        <w:tc>
          <w:tcPr>
            <w:shd w:val="clear" w:color="auto" w:fill="FFFFFF"/>
          </w:tcPr>
          <w:p>
            <w:r>
              <w:rPr>
                <w:color w:val="222222"/>
                <w:sz w:val="20"/>
                <w:szCs w:val="20"/>
              </w:rPr>
              <w:t xml:space="preserve">SOL-23</w:t>
            </w:r>
          </w:p>
        </w:tc>
        <w:tc>
          <w:tcPr>
            <w:shd w:val="clear" w:color="auto" w:fill="FFFFFF"/>
          </w:tcPr>
          <w:p>
            <w:r>
              <w:rPr>
                <w:color w:val="222222"/>
                <w:sz w:val="20"/>
                <w:szCs w:val="20"/>
              </w:rPr>
              <w:t xml:space="preserve">100% TLS 1.3, 0 PII en texto plano</w:t>
            </w:r>
          </w:p>
        </w:tc>
      </w:tr>
      <w:tr>
        <w:tc>
          <w:tcPr>
            <w:shd w:val="clear" w:color="auto" w:fill="FFFFFF"/>
          </w:tcPr>
          <w:p>
            <w:r>
              <w:rPr>
                <w:color w:val="222222"/>
                <w:sz w:val="20"/>
                <w:szCs w:val="20"/>
              </w:rPr>
              <w:t xml:space="preserve">ASR-4.2</w:t>
            </w:r>
          </w:p>
        </w:tc>
        <w:tc>
          <w:tcPr>
            <w:shd w:val="clear" w:color="auto" w:fill="FFFFFF"/>
          </w:tcPr>
          <w:p>
            <w:r>
              <w:rPr>
                <w:color w:val="222222"/>
                <w:sz w:val="20"/>
                <w:szCs w:val="20"/>
              </w:rPr>
              <w:t xml:space="preserve">Seguridad</w:t>
            </w:r>
          </w:p>
        </w:tc>
        <w:tc>
          <w:tcPr>
            <w:shd w:val="clear" w:color="auto" w:fill="FFFFFF"/>
          </w:tcPr>
          <w:p>
            <w:r>
              <w:rPr>
                <w:color w:val="222222"/>
                <w:sz w:val="20"/>
                <w:szCs w:val="20"/>
              </w:rPr>
              <w:t xml:space="preserve">SOL-45</w:t>
            </w:r>
          </w:p>
        </w:tc>
        <w:tc>
          <w:tcPr>
            <w:shd w:val="clear" w:color="auto" w:fill="FFFFFF"/>
          </w:tcPr>
          <w:p>
            <w:r>
              <w:rPr>
                <w:color w:val="222222"/>
                <w:sz w:val="20"/>
                <w:szCs w:val="20"/>
              </w:rPr>
              <w:t xml:space="preserve">Alerta modificación no autorizada &lt; 1s</w:t>
            </w:r>
          </w:p>
        </w:tc>
      </w:tr>
    </w:tbl>
    <w:p>
      <w:pPr>
        <w:spacing w:after="60"/>
      </w:pPr>
    </w:p>
    <w:p>
      <w:pPr>
        <w:pStyle w:val="H2"/>
      </w:pPr>
      <w:r>
        <w:t xml:space="preserve">ASR-1.1 — Latencia — Scoring en carga normal</w:t>
      </w:r>
    </w:p>
    <w:p>
      <w:pPr>
        <w:spacing w:after="60"/>
      </w:pPr>
      <w:r>
        <w:rPr>
          <w:i/>
          <w:iCs/>
          <w:color w:val="555555"/>
        </w:rPr>
        <w:t xml:space="preserve">Atributo: Rendimiento / Latencia</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Socio de distribución (banco originador de crédito hipotecario)</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Solicitud de cotización de seguro de vida hipotecario con perfilamiento Open Finance</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operando en condiciones normales (500 req/min)</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Servicio de Cotización &amp; Rating + Servicio de Perfilamiento</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sistema calcula el perfil de riesgo combinando señales Open Finance y Open Data y devuelve la prima estimada</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95% de solicitudes respondidas en &lt; 200ms; p99 &lt; 400ms</w:t>
            </w:r>
          </w:p>
        </w:tc>
      </w:tr>
    </w:tbl>
    <w:p>
      <w:pPr>
        <w:spacing w:after="60"/>
      </w:pPr>
    </w:p>
    <w:p>
      <w:pPr>
        <w:spacing w:after="0"/>
      </w:pPr>
      <w:r>
        <w:rPr>
          <w:b/>
          <w:bCs/>
        </w:rPr>
        <w:t xml:space="preserve">Escenario narrativo:</w:t>
      </w:r>
    </w:p>
    <w:p>
      <w:pPr>
        <w:spacing w:after="80"/>
        <w:ind w:left="360"/>
      </w:pPr>
      <w:r>
        <w:rPr>
          <w:i/>
          <w:iCs/>
        </w:rPr>
        <w:t xml:space="preserve">Como socio de distribución (banco originador de crédito hipotecario), cuando se solicita una cotización de seguro de vida hipotecario con perfilamiento Open Finance, dado que el ambiente es un sistema operando en condiciones normales (500 solicitudes por minuto), quiero que el sistema calcule el perfil de riesgo combinando señales Open Finance y Open Data y devuelva la prima estimada, esto debe suceder en menos de 200ms para el 95% de las solicitudes, con p99 menor a 400ms.</w:t>
      </w:r>
    </w:p>
    <w:p>
      <w:pPr>
        <w:spacing w:after="0"/>
      </w:pPr>
      <w:r>
        <w:rPr>
          <w:b/>
          <w:bCs/>
        </w:rPr>
        <w:t xml:space="preserve">Historia de usuario en Jira:</w:t>
      </w:r>
    </w:p>
    <w:p>
      <w:pPr>
        <w:spacing w:after="80"/>
        <w:ind w:left="360"/>
      </w:pPr>
      <w:r>
        <w:rPr>
          <w:sz w:val="20"/>
          <w:szCs w:val="20"/>
          <w:color w:val="1F4E79"/>
        </w:rPr>
        <w:t xml:space="preserve">HU-ARQ-07 — Optimización de Latencia Motor de Scoring  —  https://proyectointegradorgrupo2.atlassian.net/browse/SOL-28</w:t>
      </w:r>
    </w:p>
    <w:p>
      <w:pPr>
        <w:spacing w:after="0"/>
      </w:pPr>
      <w:r>
        <w:rPr>
          <w:b/>
          <w:bCs/>
        </w:rPr>
        <w:t xml:space="preserve">Dependencias:</w:t>
      </w:r>
    </w:p>
    <w:p>
      <w:pPr>
        <w:spacing w:after="40"/>
        <w:ind w:left="360"/>
      </w:pPr>
      <w:r>
        <w:rPr>
          <w:sz w:val="20"/>
          <w:szCs w:val="20"/>
        </w:rPr>
        <w:t xml:space="preserve">• HU-ARQ-05 (SOL-26) — Persistencia PostgreSQL + Redis: el caché Redis es necesario para alcanzar p95 &lt; 200ms</w:t>
      </w:r>
    </w:p>
    <w:p>
      <w:pPr>
        <w:spacing w:after="40"/>
        <w:ind w:left="360"/>
      </w:pPr>
      <w:r>
        <w:rPr>
          <w:sz w:val="20"/>
          <w:szCs w:val="20"/>
        </w:rPr>
        <w:t xml:space="preserve">• HU-ARQ-08 (SOL-37) — Event Bus Kafka: la cotización publica eventos de dominio de forma asíncrona</w:t>
      </w:r>
    </w:p>
    <w:p>
      <w:pPr>
        <w:spacing w:after="40"/>
        <w:ind w:left="360"/>
      </w:pPr>
      <w:r>
        <w:rPr>
          <w:sz w:val="20"/>
          <w:szCs w:val="20"/>
        </w:rPr>
        <w:t xml:space="preserve">• FE-01 (SOL-3) — Cotización web: es el journey de usuario que activa este ASR</w:t>
      </w:r>
    </w:p>
    <w:p>
      <w:pPr>
        <w:spacing w:after="60"/>
      </w:pPr>
    </w:p>
    <w:p>
      <w:pPr>
        <w:pStyle w:val="H2"/>
      </w:pPr>
      <w:r>
        <w:t xml:space="preserve">ASR-1.2 — Latencia — Scoring con proveedor Open Finance degradado</w:t>
      </w:r>
    </w:p>
    <w:p>
      <w:pPr>
        <w:spacing w:after="60"/>
      </w:pPr>
      <w:r>
        <w:rPr>
          <w:i/>
          <w:iCs/>
          <w:color w:val="555555"/>
        </w:rPr>
        <w:t xml:space="preserve">Atributo: Rendimiento / Latencia + Disponibilidad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Cliente asegurado durante campaña masiva de socio (aerolínea)</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5.000 solicitudes de scoring concurrentes con proveedor Open Finance respondiendo lento (&gt;700ms)</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bajo carga pico (10× tráfico normal), circuit breaker activo</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Servicio de Perfilamiento + Caché Redis + Circuit Breaker</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sistema usa perfil de riesgo cacheado cuando Open Finance supera el timeout, operando en modo degradado elegante</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95% de solicitudes respondidas en &lt; 200ms usando caché; 0% de solicitudes perdidas por timeout externo</w:t>
            </w:r>
          </w:p>
        </w:tc>
      </w:tr>
    </w:tbl>
    <w:p>
      <w:pPr>
        <w:spacing w:after="60"/>
      </w:pPr>
    </w:p>
    <w:p>
      <w:pPr>
        <w:spacing w:after="0"/>
      </w:pPr>
      <w:r>
        <w:rPr>
          <w:b/>
          <w:bCs/>
        </w:rPr>
        <w:t xml:space="preserve">Escenario narrativo:</w:t>
      </w:r>
    </w:p>
    <w:p>
      <w:pPr>
        <w:spacing w:after="80"/>
        <w:ind w:left="360"/>
      </w:pPr>
      <w:r>
        <w:rPr>
          <w:i/>
          <w:iCs/>
        </w:rPr>
        <w:t xml:space="preserve">Como cliente asegurado durante una campaña masiva de un socio (por ejemplo, una aerolínea), cuando se generan 5.000 solicitudes de scoring concurrentes con el proveedor Open Finance respondiendo lento (más de 700ms), dado que el ambiente es un sistema bajo carga pico (10 veces el tráfico normal) con el circuit breaker activo, quiero que el sistema use el perfil de riesgo cacheado cuando Open Finance supere el timeout, operando en modo degradado elegante, esto debe suceder respondiendo el 95% de las solicitudes en menos de 200ms usando caché, con 0% de solicitudes perdidas por timeout externo.</w:t>
      </w:r>
    </w:p>
    <w:p>
      <w:pPr>
        <w:spacing w:after="0"/>
      </w:pPr>
      <w:r>
        <w:rPr>
          <w:b/>
          <w:bCs/>
        </w:rPr>
        <w:t xml:space="preserve">Historia de usuario en Jira:</w:t>
      </w:r>
    </w:p>
    <w:p>
      <w:pPr>
        <w:spacing w:after="80"/>
        <w:ind w:left="360"/>
      </w:pPr>
      <w:r>
        <w:rPr>
          <w:sz w:val="20"/>
          <w:szCs w:val="20"/>
          <w:color w:val="1F4E79"/>
        </w:rPr>
        <w:t xml:space="preserve">HU-ARQ-08 — Event Bus con Kafka y Degradación Elegante  —  https://proyectointegradorgrupo2.atlassian.net/browse/SOL-37</w:t>
      </w:r>
    </w:p>
    <w:p>
      <w:pPr>
        <w:spacing w:after="0"/>
      </w:pPr>
      <w:r>
        <w:rPr>
          <w:b/>
          <w:bCs/>
        </w:rPr>
        <w:t xml:space="preserve">Dependencias:</w:t>
      </w:r>
    </w:p>
    <w:p>
      <w:pPr>
        <w:spacing w:after="40"/>
        <w:ind w:left="360"/>
      </w:pPr>
      <w:r>
        <w:rPr>
          <w:sz w:val="20"/>
          <w:szCs w:val="20"/>
        </w:rPr>
        <w:t xml:space="preserve">• ASR-1.1 (SOL-28) — la latencia base debe estar resuelta antes que la degradación elegante</w:t>
      </w:r>
    </w:p>
    <w:p>
      <w:pPr>
        <w:spacing w:after="40"/>
        <w:ind w:left="360"/>
      </w:pPr>
      <w:r>
        <w:rPr>
          <w:sz w:val="20"/>
          <w:szCs w:val="20"/>
        </w:rPr>
        <w:t xml:space="preserve">• HU-ARQ-05 (SOL-26) — Redis caché: fuente de datos durante la degradación</w:t>
      </w:r>
    </w:p>
    <w:p>
      <w:pPr>
        <w:spacing w:after="40"/>
        <w:ind w:left="360"/>
      </w:pPr>
      <w:r>
        <w:rPr>
          <w:sz w:val="20"/>
          <w:szCs w:val="20"/>
        </w:rPr>
        <w:t xml:space="preserve">• HU-ARQ-02 (SOL-20) — Abstracciones pasarelas: el adaptador Open Finance sigue el mismo patrón</w:t>
      </w:r>
    </w:p>
    <w:p>
      <w:pPr>
        <w:spacing w:after="40"/>
        <w:ind w:left="360"/>
      </w:pPr>
      <w:r>
        <w:rPr>
          <w:sz w:val="20"/>
          <w:szCs w:val="20"/>
        </w:rPr>
        <w:t xml:space="preserve">• FE-01 (SOL-3) — Cotización web: journey afectado por la degradación</w:t>
      </w:r>
    </w:p>
    <w:p>
      <w:pPr>
        <w:spacing w:after="60"/>
      </w:pPr>
    </w:p>
    <w:p>
      <w:pPr>
        <w:pStyle w:val="H2"/>
      </w:pPr>
      <w:r>
        <w:t xml:space="preserve">ASR-2.1 — Modificabilidad — Nueva pasarela de pagos regional</w:t>
      </w:r>
    </w:p>
    <w:p>
      <w:pPr>
        <w:spacing w:after="60"/>
      </w:pPr>
      <w:r>
        <w:rPr>
          <w:i/>
          <w:iCs/>
          <w:color w:val="555555"/>
        </w:rPr>
        <w:t xml:space="preserve">Atributo: Modificabilidad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Equipo de desarrollo (desarrollador backend)</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Integración de nueva pasarela de pagos para el mercado mexicano</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en producción, otros servicios operando normalmente</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Adaptador de Pagos (capa de adaptadores externos)</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desarrollador implementa el nuevo adaptador sin modificar el servicio de Pagos &amp; Recaudo ni ningún otro servicio del núcleo</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Modificación + pruebas + despliegue completados en &lt; 4 horas-hombre; cero cambios en servicios del núcleo de negocio</w:t>
            </w:r>
          </w:p>
        </w:tc>
      </w:tr>
    </w:tbl>
    <w:p>
      <w:pPr>
        <w:spacing w:after="60"/>
      </w:pPr>
    </w:p>
    <w:p>
      <w:pPr>
        <w:spacing w:after="0"/>
      </w:pPr>
      <w:r>
        <w:rPr>
          <w:b/>
          <w:bCs/>
        </w:rPr>
        <w:t xml:space="preserve">Escenario narrativo:</w:t>
      </w:r>
    </w:p>
    <w:p>
      <w:pPr>
        <w:spacing w:after="80"/>
        <w:ind w:left="360"/>
      </w:pPr>
      <w:r>
        <w:rPr>
          <w:i/>
          <w:iCs/>
        </w:rPr>
        <w:t xml:space="preserve">Como equipo de desarrollo (desarrollador backend), cuando se requiere integrar una nueva pasarela de pagos para el mercado mexicano, dado que el ambiente es un sistema en producción con otros servicios operando normalmente, quiero que el desarrollador implemente el nuevo adaptador sin modificar el servicio de Pagos &amp; Recaudo ni ningún otro servicio del núcleo, esto debe suceder en menos de 4 horas-hombre de modificación, pruebas y despliegue, con cero cambios en los servicios del núcleo de negocio.</w:t>
      </w:r>
    </w:p>
    <w:p>
      <w:pPr>
        <w:spacing w:after="0"/>
      </w:pPr>
      <w:r>
        <w:rPr>
          <w:b/>
          <w:bCs/>
        </w:rPr>
        <w:t xml:space="preserve">Historia de usuario en Jira:</w:t>
      </w:r>
    </w:p>
    <w:p>
      <w:pPr>
        <w:spacing w:after="80"/>
        <w:ind w:left="360"/>
      </w:pPr>
      <w:r>
        <w:rPr>
          <w:sz w:val="20"/>
          <w:szCs w:val="20"/>
          <w:color w:val="1F4E79"/>
        </w:rPr>
        <w:t xml:space="preserve">HU-ARQ-02 — Abstracciones de Pasarelas de Pago (Adapter Pattern)  —  https://proyectointegradorgrupo2.atlassian.net/browse/SOL-20</w:t>
      </w:r>
    </w:p>
    <w:p>
      <w:pPr>
        <w:spacing w:after="0"/>
      </w:pPr>
      <w:r>
        <w:rPr>
          <w:b/>
          <w:bCs/>
        </w:rPr>
        <w:t xml:space="preserve">Dependencias:</w:t>
      </w:r>
    </w:p>
    <w:p>
      <w:pPr>
        <w:spacing w:after="40"/>
        <w:ind w:left="360"/>
      </w:pPr>
      <w:r>
        <w:rPr>
          <w:sz w:val="20"/>
          <w:szCs w:val="20"/>
        </w:rPr>
        <w:t xml:space="preserve">• FE-02 (SOL-4) — Suscripción y emisión: journey que usa el módulo de pagos</w:t>
      </w:r>
    </w:p>
    <w:p>
      <w:pPr>
        <w:spacing w:after="40"/>
        <w:ind w:left="360"/>
      </w:pPr>
      <w:r>
        <w:rPr>
          <w:sz w:val="20"/>
          <w:szCs w:val="20"/>
        </w:rPr>
        <w:t xml:space="preserve">• HU-ARQ-04 (SOL-22) — Gestión de consentimientos: el pago requiere consentimiento activo del usuario</w:t>
      </w:r>
    </w:p>
    <w:p>
      <w:pPr>
        <w:spacing w:after="40"/>
        <w:ind w:left="360"/>
      </w:pPr>
      <w:r>
        <w:rPr>
          <w:sz w:val="20"/>
          <w:szCs w:val="20"/>
        </w:rPr>
        <w:t xml:space="preserve">• HU-ARQ-03 (SOL-23) — Tokenización PII: las credenciales de pago deben tokenizarse</w:t>
      </w:r>
    </w:p>
    <w:p>
      <w:pPr>
        <w:spacing w:after="60"/>
      </w:pPr>
    </w:p>
    <w:p>
      <w:pPr>
        <w:pStyle w:val="H2"/>
      </w:pPr>
      <w:r>
        <w:t xml:space="preserve">ASR-2.2 — Modificabilidad — Nuevo ramo de seguro</w:t>
      </w:r>
    </w:p>
    <w:p>
      <w:pPr>
        <w:spacing w:after="60"/>
      </w:pPr>
      <w:r>
        <w:rPr>
          <w:i/>
          <w:iCs/>
          <w:color w:val="555555"/>
        </w:rPr>
        <w:t xml:space="preserve">Atributo: Modificabilidad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Área de producto / negocio</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Solicitud de lanzamiento de nuevo ramo (seguro de mascota) no contemplado en el diseño inicial</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en producción con 5 ramos activos</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Servicio de Cotización &amp; Rating + módulo de configuración de ramos</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equipo configura el nuevo ramo mediante parámetros sin modificar la lógica central del motor de rating</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Nuevo ramo disponible en producción en ≤ 2 semanas-equipo; modificaciones confinadas a configuración y adaptadores</w:t>
            </w:r>
          </w:p>
        </w:tc>
      </w:tr>
    </w:tbl>
    <w:p>
      <w:pPr>
        <w:spacing w:after="60"/>
      </w:pPr>
    </w:p>
    <w:p>
      <w:pPr>
        <w:spacing w:after="0"/>
      </w:pPr>
      <w:r>
        <w:rPr>
          <w:b/>
          <w:bCs/>
        </w:rPr>
        <w:t xml:space="preserve">Escenario narrativo:</w:t>
      </w:r>
    </w:p>
    <w:p>
      <w:pPr>
        <w:spacing w:after="80"/>
        <w:ind w:left="360"/>
      </w:pPr>
      <w:r>
        <w:rPr>
          <w:i/>
          <w:iCs/>
        </w:rPr>
        <w:t xml:space="preserve">Como área de producto/negocio, cuando se solicita el lanzamiento de un nuevo ramo de seguro (por ejemplo, seguro de mascota) no contemplado en el diseño inicial, dado que el ambiente es un sistema en producción con 5 ramos activos, quiero que el equipo configure el nuevo ramo mediante parámetros sin modificar la lógica central del motor de rating, esto debe suceder en un plazo máximo de 2 semanas-equipo, con las modificaciones confinadas a configuración y adaptadores.</w:t>
      </w:r>
    </w:p>
    <w:p>
      <w:pPr>
        <w:spacing w:after="0"/>
      </w:pPr>
      <w:r>
        <w:rPr>
          <w:b/>
          <w:bCs/>
        </w:rPr>
        <w:t xml:space="preserve">Historia de usuario en Jira:</w:t>
      </w:r>
    </w:p>
    <w:p>
      <w:pPr>
        <w:spacing w:after="80"/>
        <w:ind w:left="360"/>
      </w:pPr>
      <w:r>
        <w:rPr>
          <w:sz w:val="20"/>
          <w:szCs w:val="20"/>
          <w:color w:val="1F4E79"/>
        </w:rPr>
        <w:t xml:space="preserve">HU-ARQ-01 — Parametrización Multitenant / Multirregión  —  https://proyectointegradorgrupo2.atlassian.net/browse/SOL-21</w:t>
      </w:r>
    </w:p>
    <w:p>
      <w:pPr>
        <w:spacing w:after="0"/>
      </w:pPr>
      <w:r>
        <w:rPr>
          <w:b/>
          <w:bCs/>
        </w:rPr>
        <w:t xml:space="preserve">Dependencias:</w:t>
      </w:r>
    </w:p>
    <w:p>
      <w:pPr>
        <w:spacing w:after="40"/>
        <w:ind w:left="360"/>
      </w:pPr>
      <w:r>
        <w:rPr>
          <w:sz w:val="20"/>
          <w:szCs w:val="20"/>
        </w:rPr>
        <w:t xml:space="preserve">• HU-ARQ-05 (SOL-26) — Persistencia PostgreSQL: el catálogo de ramos se almacena en BD</w:t>
      </w:r>
    </w:p>
    <w:p>
      <w:pPr>
        <w:spacing w:after="40"/>
        <w:ind w:left="360"/>
      </w:pPr>
      <w:r>
        <w:rPr>
          <w:sz w:val="20"/>
          <w:szCs w:val="20"/>
        </w:rPr>
        <w:t xml:space="preserve">• FE-01 (SOL-3) — Cotización: el nuevo ramo debe aparecer en el flujo de cotización automáticamente</w:t>
      </w:r>
    </w:p>
    <w:p>
      <w:pPr>
        <w:spacing w:after="40"/>
        <w:ind w:left="360"/>
      </w:pPr>
      <w:r>
        <w:rPr>
          <w:sz w:val="20"/>
          <w:szCs w:val="20"/>
        </w:rPr>
        <w:t xml:space="preserve">• FE-09 (SOL-31) — Portal de socios: los socios distribuidores ven el nuevo ramo vía API</w:t>
      </w:r>
    </w:p>
    <w:p>
      <w:pPr>
        <w:spacing w:after="60"/>
      </w:pPr>
    </w:p>
    <w:p>
      <w:pPr>
        <w:pStyle w:val="H2"/>
      </w:pPr>
      <w:r>
        <w:t xml:space="preserve">ASR-3.1 — Disponibilidad — Caída del contenedor Redis</w:t>
      </w:r>
    </w:p>
    <w:p>
      <w:pPr>
        <w:spacing w:after="60"/>
      </w:pPr>
      <w:r>
        <w:rPr>
          <w:i/>
          <w:iCs/>
          <w:color w:val="555555"/>
        </w:rPr>
        <w:t xml:space="preserve">Atributo: Disponibilidad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Infraestructura interna (falla de contenedor)</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Contenedor Redis se desconecta inesperadamente durante operación normal</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en producción, usuarios activos realizando cotizaciones</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BFF Web + Servicio de Cotización + Caché Redis</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sistema detecta la falla y redirige solicitudes al servicio de perfilamiento directo, manteniendo operación en modo degradado sin pérdida de transacciones activas</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Recuperación automática en &lt; 30 segundos; disponibilidad mensual ≥ 99,9%; cero transacciones activas perdidas</w:t>
            </w:r>
          </w:p>
        </w:tc>
      </w:tr>
    </w:tbl>
    <w:p>
      <w:pPr>
        <w:spacing w:after="60"/>
      </w:pPr>
    </w:p>
    <w:p>
      <w:pPr>
        <w:spacing w:after="0"/>
      </w:pPr>
      <w:r>
        <w:rPr>
          <w:b/>
          <w:bCs/>
        </w:rPr>
        <w:t xml:space="preserve">Escenario narrativo:</w:t>
      </w:r>
    </w:p>
    <w:p>
      <w:pPr>
        <w:spacing w:after="80"/>
        <w:ind w:left="360"/>
      </w:pPr>
      <w:r>
        <w:rPr>
          <w:i/>
          <w:iCs/>
        </w:rPr>
        <w:t xml:space="preserve">Como infraestructura interna del sistema, cuando el contenedor de Redis se desconecta inesperadamente durante la operación normal, dado que el ambiente es un sistema en producción con usuarios activos realizando cotizaciones, quiero que el sistema detecte la falla y redirija las solicitudes al servicio de perfilamiento directo, manteniendo la operación en modo degradado sin pérdida de transacciones activas, esto debe suceder con recuperación automática en menos de 30 segundos, disponibilidad mensual mayor o igual a 99,9% y cero transacciones activas perdidas.</w:t>
      </w:r>
    </w:p>
    <w:p>
      <w:pPr>
        <w:spacing w:after="0"/>
      </w:pPr>
      <w:r>
        <w:rPr>
          <w:b/>
          <w:bCs/>
        </w:rPr>
        <w:t xml:space="preserve">Historia de usuario en Jira:</w:t>
      </w:r>
    </w:p>
    <w:p>
      <w:pPr>
        <w:spacing w:after="80"/>
        <w:ind w:left="360"/>
      </w:pPr>
      <w:r>
        <w:rPr>
          <w:sz w:val="20"/>
          <w:szCs w:val="20"/>
          <w:color w:val="1F4E79"/>
        </w:rPr>
        <w:t xml:space="preserve">HU-ARQ-06 — Tolerancia a Fallos y Failover (Circuit Breaker)  —  https://proyectointegradorgrupo2.atlassian.net/browse/SOL-29</w:t>
      </w:r>
    </w:p>
    <w:p>
      <w:pPr>
        <w:spacing w:after="0"/>
      </w:pPr>
      <w:r>
        <w:rPr>
          <w:b/>
          <w:bCs/>
        </w:rPr>
        <w:t xml:space="preserve">Dependencias:</w:t>
      </w:r>
    </w:p>
    <w:p>
      <w:pPr>
        <w:spacing w:after="40"/>
        <w:ind w:left="360"/>
      </w:pPr>
      <w:r>
        <w:rPr>
          <w:sz w:val="20"/>
          <w:szCs w:val="20"/>
        </w:rPr>
        <w:t xml:space="preserve">• HU-ARQ-05 (SOL-26) — Persistencia PostgreSQL + Redis: el circuit breaker hace fallback a PostgreSQL</w:t>
      </w:r>
    </w:p>
    <w:p>
      <w:pPr>
        <w:spacing w:after="40"/>
        <w:ind w:left="360"/>
      </w:pPr>
      <w:r>
        <w:rPr>
          <w:sz w:val="20"/>
          <w:szCs w:val="20"/>
        </w:rPr>
        <w:t xml:space="preserve">• HU-ARQ-07 (SOL-28) — Latencia scoring: la latencia aumenta durante el failover pero debe permanecer &lt; 500ms</w:t>
      </w:r>
    </w:p>
    <w:p>
      <w:pPr>
        <w:spacing w:after="40"/>
        <w:ind w:left="360"/>
      </w:pPr>
      <w:r>
        <w:rPr>
          <w:sz w:val="20"/>
          <w:szCs w:val="20"/>
        </w:rPr>
        <w:t xml:space="preserve">• ASR-3.2 (SOL-43) — el mecanismo de failover de zona comparte lógica con el failover de Redis</w:t>
      </w:r>
    </w:p>
    <w:p>
      <w:pPr>
        <w:spacing w:after="40"/>
        <w:ind w:left="360"/>
      </w:pPr>
      <w:r>
        <w:rPr>
          <w:sz w:val="20"/>
          <w:szCs w:val="20"/>
        </w:rPr>
        <w:t xml:space="preserve">• Relacionado pero DISTINTO de ASR-3.3 (SOL-44): ASR-3.3 cubre continuidad offline del cliente móvil, no la caída de Redis en backend</w:t>
      </w:r>
    </w:p>
    <w:p>
      <w:pPr>
        <w:spacing w:after="60"/>
      </w:pPr>
    </w:p>
    <w:p>
      <w:pPr>
        <w:pStyle w:val="H2"/>
      </w:pPr>
      <w:r>
        <w:t xml:space="preserve">ASR-3.2 — Disponibilidad — Caída de zona de disponibilidad AWS</w:t>
      </w:r>
    </w:p>
    <w:p>
      <w:pPr>
        <w:spacing w:after="60"/>
      </w:pPr>
      <w:r>
        <w:rPr>
          <w:i/>
          <w:iCs/>
          <w:color w:val="555555"/>
        </w:rPr>
        <w:t xml:space="preserve">Atributo: Disponibilidad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Proveedor cloud (AWS)</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Falla completa de la Zona de Disponibilidad A (us-east-1a) con instancias EKS activas</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en producción, tráfico distribuido entre Zona A y Zona B en configuración activo-activo</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EKS multi-zona + RDS PostgreSQL con réplica + Amazon MSK</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balanceador redirige todo el tráfico a Zona B; RDS promueve la réplica a primaria automáticamente; Kafka continúa operando con brokers en Zona B</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RTO ≤ 10 minutos; RPO ≤ 30 segundos; disponibilidad mensual ≥ 99,9%</w:t>
            </w:r>
          </w:p>
        </w:tc>
      </w:tr>
    </w:tbl>
    <w:p>
      <w:pPr>
        <w:spacing w:after="60"/>
      </w:pPr>
    </w:p>
    <w:p>
      <w:pPr>
        <w:spacing w:after="0"/>
      </w:pPr>
      <w:r>
        <w:rPr>
          <w:b/>
          <w:bCs/>
        </w:rPr>
        <w:t xml:space="preserve">Escenario narrativo:</w:t>
      </w:r>
    </w:p>
    <w:p>
      <w:pPr>
        <w:spacing w:after="80"/>
        <w:ind w:left="360"/>
      </w:pPr>
      <w:r>
        <w:rPr>
          <w:i/>
          <w:iCs/>
        </w:rPr>
        <w:t xml:space="preserve">Como plataforma Solventa expuesta a una falla del proveedor cloud (AWS), cuando ocurre una falla completa de la Zona de Disponibilidad A (us-east-1a) con instancias EKS activas, dado que el ambiente es un sistema en producción con tráfico distribuido entre la Zona A y la Zona B en configuración activo-activo, quiero que el balanceador redirija todo el tráfico a la Zona B, que RDS promueva automáticamente la réplica a primaria y que Kafka continúe operando con brokers en la Zona B, esto debe suceder con un RTO menor o igual a 10 minutos, un RPO menor o igual a 30 segundos y disponibilidad mensual mayor o igual a 99,9%.</w:t>
      </w:r>
    </w:p>
    <w:p>
      <w:pPr>
        <w:spacing w:after="0"/>
      </w:pPr>
      <w:r>
        <w:rPr>
          <w:b/>
          <w:bCs/>
        </w:rPr>
        <w:t xml:space="preserve">Historia de usuario en Jira:</w:t>
      </w:r>
    </w:p>
    <w:p>
      <w:pPr>
        <w:spacing w:after="80"/>
        <w:ind w:left="360"/>
      </w:pPr>
      <w:r>
        <w:rPr>
          <w:sz w:val="20"/>
          <w:szCs w:val="20"/>
          <w:color w:val="1F4E79"/>
        </w:rPr>
        <w:t xml:space="preserve">HU-ARQ-09 — Autoescalado Horizontal EKS + Multi-AZ  —  https://proyectointegradorgrupo2.atlassian.net/browse/SOL-43</w:t>
      </w:r>
    </w:p>
    <w:p>
      <w:pPr>
        <w:spacing w:after="0"/>
      </w:pPr>
      <w:r>
        <w:rPr>
          <w:b/>
          <w:bCs/>
        </w:rPr>
        <w:t xml:space="preserve">Dependencias:</w:t>
      </w:r>
    </w:p>
    <w:p>
      <w:pPr>
        <w:spacing w:after="40"/>
        <w:ind w:left="360"/>
      </w:pPr>
      <w:r>
        <w:rPr>
          <w:sz w:val="20"/>
          <w:szCs w:val="20"/>
        </w:rPr>
        <w:t xml:space="preserve">• HU-ARQ-06 (SOL-29) — Tolerancia a fallos: el failover de zona reutiliza el circuit breaker definido en este ASR</w:t>
      </w:r>
    </w:p>
    <w:p>
      <w:pPr>
        <w:spacing w:after="40"/>
        <w:ind w:left="360"/>
      </w:pPr>
      <w:r>
        <w:rPr>
          <w:sz w:val="20"/>
          <w:szCs w:val="20"/>
        </w:rPr>
        <w:t xml:space="preserve">• HU-ARQ-05 (SOL-26) — RDS Multi-AZ: la BD debe estar configurada en multi-AZ para cumplir el RPO</w:t>
      </w:r>
    </w:p>
    <w:p>
      <w:pPr>
        <w:spacing w:after="40"/>
        <w:ind w:left="360"/>
      </w:pPr>
      <w:r>
        <w:rPr>
          <w:sz w:val="20"/>
          <w:szCs w:val="20"/>
        </w:rPr>
        <w:t xml:space="preserve">• HU-ARQ-08 (SOL-37) — Kafka MSK: Amazon MSK también debe estar en multi-AZ para no perder eventos</w:t>
      </w:r>
    </w:p>
    <w:p>
      <w:pPr>
        <w:spacing w:after="60"/>
      </w:pPr>
    </w:p>
    <w:p>
      <w:pPr>
        <w:pStyle w:val="H2"/>
      </w:pPr>
      <w:r>
        <w:t xml:space="preserve">ASR-3.3 — Disponibilidad — Continuidad offline del cliente móvil</w:t>
      </w:r>
    </w:p>
    <w:p>
      <w:pPr>
        <w:spacing w:after="60"/>
      </w:pPr>
      <w:r>
        <w:rPr>
          <w:i/>
          <w:iCs/>
          <w:color w:val="555555"/>
        </w:rPr>
        <w:t xml:space="preserve">Atributo: Disponibilidad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Usuario móvil con pérdida de señal de datos/wifi</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El dispositivo pierde conectividad de red mientras el usuario consulta sus pólizas activas en la billetera móvil</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App móvil en uso activo, sesión ya autenticada, pólizas previamente sincronizadas</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BFF Móvil + almacenamiento local cifrado (AsyncStorage) + módulo de sincronización</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La app sirve las pólizas (número, vigencia, cobertura) desde el almacenamiento local cifrado sin requerir conexión, y sincroniza automáticamente los cambios pendientes al recuperar conectividad</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100% de las consultas de pólizas disponibles sin conexión; sincronización automática en ≤ 10 segundos al recuperar conectividad; datos offline con TTL de 24 horas (alerta de datos desactualizados al vencer)</w:t>
            </w:r>
          </w:p>
        </w:tc>
      </w:tr>
    </w:tbl>
    <w:p>
      <w:pPr>
        <w:spacing w:after="60"/>
      </w:pPr>
    </w:p>
    <w:p>
      <w:pPr>
        <w:spacing w:after="0"/>
      </w:pPr>
      <w:r>
        <w:rPr>
          <w:b/>
          <w:bCs/>
        </w:rPr>
        <w:t xml:space="preserve">Escenario narrativo:</w:t>
      </w:r>
    </w:p>
    <w:p>
      <w:pPr>
        <w:spacing w:after="80"/>
        <w:ind w:left="360"/>
      </w:pPr>
      <w:r>
        <w:rPr>
          <w:i/>
          <w:iCs/>
        </w:rPr>
        <w:t xml:space="preserve">Como usuario móvil, cuando el dispositivo pierde conectividad de red mientras consulta sus pólizas activas en la billetera móvil, dado que el ambiente es una app móvil en uso activo con sesión ya autenticada y pólizas previamente sincronizadas, quiero que la app sirva las pólizas (número, vigencia, cobertura) desde el almacenamiento local cifrado sin requerir conexión y sincronice automáticamente los cambios pendientes al recuperar conectividad, esto debe suceder garantizando el 100% de las consultas disponibles sin conexión, sincronización automática en menos de 10 segundos al recuperar conectividad, y datos offline con un TTL de 24 horas tras el cual se muestra una alerta de datos desactualizados.</w:t>
      </w:r>
    </w:p>
    <w:p>
      <w:pPr>
        <w:spacing w:after="0"/>
      </w:pPr>
      <w:r>
        <w:rPr>
          <w:b/>
          <w:bCs/>
        </w:rPr>
        <w:t xml:space="preserve">Historia de usuario en Jira:</w:t>
      </w:r>
    </w:p>
    <w:p>
      <w:pPr>
        <w:spacing w:after="80"/>
        <w:ind w:left="360"/>
      </w:pPr>
      <w:r>
        <w:rPr>
          <w:sz w:val="20"/>
          <w:szCs w:val="20"/>
          <w:color w:val="1F4E79"/>
        </w:rPr>
        <w:t xml:space="preserve">HU-ARQ-10 — Offline Sync BFF Móvil  —  https://proyectointegradorgrupo2.atlassian.net/browse/SOL-44</w:t>
      </w:r>
    </w:p>
    <w:p>
      <w:pPr>
        <w:spacing w:after="0"/>
      </w:pPr>
      <w:r>
        <w:rPr>
          <w:b/>
          <w:bCs/>
        </w:rPr>
        <w:t xml:space="preserve">Dependencias:</w:t>
      </w:r>
    </w:p>
    <w:p>
      <w:pPr>
        <w:spacing w:after="40"/>
        <w:ind w:left="360"/>
      </w:pPr>
      <w:r>
        <w:rPr>
          <w:sz w:val="20"/>
          <w:szCs w:val="20"/>
        </w:rPr>
        <w:t xml:space="preserve">• FE-06 (SOL-11) — Billetera de pólizas móvil: es la pantalla donde se activa este escenario</w:t>
      </w:r>
    </w:p>
    <w:p>
      <w:pPr>
        <w:spacing w:after="40"/>
        <w:ind w:left="360"/>
      </w:pPr>
      <w:r>
        <w:rPr>
          <w:sz w:val="20"/>
          <w:szCs w:val="20"/>
        </w:rPr>
        <w:t xml:space="preserve">• Relacionado pero DISTINTO de ASR-3.1 (SOL-29): ambas son de disponibilidad/continuidad, pero cubren fallas diferentes (Redis en backend vs. pérdida de conectividad en el cliente móvil)</w:t>
      </w:r>
    </w:p>
    <w:p>
      <w:pPr>
        <w:spacing w:after="60"/>
      </w:pPr>
    </w:p>
    <w:p>
      <w:pPr>
        <w:pStyle w:val="H2"/>
      </w:pPr>
      <w:r>
        <w:t xml:space="preserve">ASR-4.1 — Seguridad — Confidencialidad en transmisión de datos financieros Open Finance</w:t>
      </w:r>
    </w:p>
    <w:p>
      <w:pPr>
        <w:spacing w:after="60"/>
      </w:pPr>
      <w:r>
        <w:rPr>
          <w:i/>
          <w:iCs/>
          <w:color w:val="555555"/>
        </w:rPr>
        <w:t xml:space="preserve">Atributo: Seguridad / Confidencialidad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Actor externo (ataque man-in-the-middle en red pública)</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Intento de interceptar datos financieros del cliente durante el flujo de consentimiento y consulta Open Finance</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operando normalmente, usuario en flujo activo de cotización de seguro de vida hipotecario</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Adaptador Open Finance + capa de transporte + servicio de tokenización de PII</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sistema transmite todos los datos financieros cifrados con TLS 1.3 y tokeniza los campos PII antes de cualquier transmisión; solo los servicios autorizados con clave KMS pueden operar sobre los datos originales</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100% de las transmisiones Open Finance usan TLS 1.3; 100% de los campos PII son tokenizados antes de salir del servicio de perfilamiento; cero datos personales en texto plano en tránsito</w:t>
            </w:r>
          </w:p>
        </w:tc>
      </w:tr>
    </w:tbl>
    <w:p>
      <w:pPr>
        <w:spacing w:after="60"/>
      </w:pPr>
    </w:p>
    <w:p>
      <w:pPr>
        <w:spacing w:after="0"/>
      </w:pPr>
      <w:r>
        <w:rPr>
          <w:b/>
          <w:bCs/>
        </w:rPr>
        <w:t xml:space="preserve">Escenario narrativo:</w:t>
      </w:r>
    </w:p>
    <w:p>
      <w:pPr>
        <w:spacing w:after="80"/>
        <w:ind w:left="360"/>
      </w:pPr>
      <w:r>
        <w:rPr>
          <w:i/>
          <w:iCs/>
        </w:rPr>
        <w:t xml:space="preserve">Como actor externo (atacante) que intenta un ataque man-in-the-middle en una red pública, cuando intenta interceptar los datos financieros del cliente durante el flujo de consentimiento y consulta Open Finance, dado que el ambiente es un sistema operando normalmente con el usuario en un flujo activo de cotización de seguro de vida hipotecario, quiero que el sistema transmita todos los datos financieros cifrados con TLS 1.3 y tokenice los campos PII antes de cualquier transmisión, esto debe suceder garantizando que el 100% de las transmisiones Open Finance usen TLS 1.3, el 100% de los campos PII estén tokenizados antes de salir del servicio de perfilamiento, y cero datos personales en texto plano en tránsito.</w:t>
      </w:r>
    </w:p>
    <w:p>
      <w:pPr>
        <w:spacing w:after="0"/>
      </w:pPr>
      <w:r>
        <w:rPr>
          <w:b/>
          <w:bCs/>
        </w:rPr>
        <w:t xml:space="preserve">Historia de usuario en Jira:</w:t>
      </w:r>
    </w:p>
    <w:p>
      <w:pPr>
        <w:spacing w:after="80"/>
        <w:ind w:left="360"/>
      </w:pPr>
      <w:r>
        <w:rPr>
          <w:sz w:val="20"/>
          <w:szCs w:val="20"/>
          <w:color w:val="1F4E79"/>
        </w:rPr>
        <w:t xml:space="preserve">HU-ARQ-03 — Tokenización de PII y Trazabilidad  —  https://proyectointegradorgrupo2.atlassian.net/browse/SOL-23</w:t>
      </w:r>
    </w:p>
    <w:p>
      <w:pPr>
        <w:spacing w:after="0"/>
      </w:pPr>
      <w:r>
        <w:rPr>
          <w:b/>
          <w:bCs/>
        </w:rPr>
        <w:t xml:space="preserve">Dependencias:</w:t>
      </w:r>
    </w:p>
    <w:p>
      <w:pPr>
        <w:spacing w:after="40"/>
        <w:ind w:left="360"/>
      </w:pPr>
      <w:r>
        <w:rPr>
          <w:sz w:val="20"/>
          <w:szCs w:val="20"/>
        </w:rPr>
        <w:t xml:space="preserve">• HU-ARQ-04 (SOL-22) — Gestión de consentimientos: sin consentimiento activo no se intercambian datos Open Finance</w:t>
      </w:r>
    </w:p>
    <w:p>
      <w:pPr>
        <w:spacing w:after="40"/>
        <w:ind w:left="360"/>
      </w:pPr>
      <w:r>
        <w:rPr>
          <w:sz w:val="20"/>
          <w:szCs w:val="20"/>
        </w:rPr>
        <w:t xml:space="preserve">• FE-05 (SOL-10) — Autenticación biométrica y KYC: los datos del usuario se usan en el intercambio Open Finance</w:t>
      </w:r>
    </w:p>
    <w:p>
      <w:pPr>
        <w:spacing w:after="40"/>
        <w:ind w:left="360"/>
      </w:pPr>
      <w:r>
        <w:rPr>
          <w:sz w:val="20"/>
          <w:szCs w:val="20"/>
        </w:rPr>
        <w:t xml:space="preserve">• HU-ARQ-08 (SOL-37) — Kafka: los eventos con PII deben estar cifrados end-to-end en los topics</w:t>
      </w:r>
    </w:p>
    <w:p>
      <w:pPr>
        <w:spacing w:after="40"/>
        <w:ind w:left="360"/>
      </w:pPr>
      <w:r>
        <w:rPr>
          <w:sz w:val="20"/>
          <w:szCs w:val="20"/>
        </w:rPr>
        <w:t xml:space="preserve">• FE-01 (SOL-3) — Cotización: es el journey principal que activa el intercambio de datos Open Finance</w:t>
      </w:r>
    </w:p>
    <w:p>
      <w:pPr>
        <w:spacing w:after="60"/>
      </w:pPr>
    </w:p>
    <w:p>
      <w:pPr>
        <w:pStyle w:val="H2"/>
      </w:pPr>
      <w:r>
        <w:t xml:space="preserve">ASR-4.2 — Seguridad — Integridad de pólizas emitidas en almacenamiento</w:t>
      </w:r>
    </w:p>
    <w:p>
      <w:pPr>
        <w:spacing w:after="60"/>
      </w:pPr>
      <w:r>
        <w:rPr>
          <w:i/>
          <w:iCs/>
          <w:color w:val="555555"/>
        </w:rPr>
        <w:t xml:space="preserve">Atributo: Seguridad / Integridad</w:t>
      </w: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c>
          <w:tcPr>
            <w:tcW w:w="1400" w:type="pct"/>
            <w:shd w:val="clear" w:color="auto" w:fill="1F4E79"/>
          </w:tcPr>
          <w:p>
            <w:r>
              <w:rPr>
                <w:b/>
                <w:bCs/>
                <w:color w:val="FFFFFF"/>
                <w:sz w:val="20"/>
                <w:szCs w:val="20"/>
              </w:rPr>
              <w:t xml:space="preserve">Campo SEI/Bass</w:t>
            </w:r>
          </w:p>
        </w:tc>
        <w:tc>
          <w:tcPr>
            <w:shd w:val="clear" w:color="auto" w:fill="1F4E79"/>
          </w:tcPr>
          <w:p>
            <w:r>
              <w:rPr>
                <w:b/>
                <w:bCs/>
                <w:color w:val="FFFFFF"/>
                <w:sz w:val="20"/>
                <w:szCs w:val="20"/>
              </w:rPr>
              <w:t xml:space="preserve">Valor</w:t>
            </w:r>
          </w:p>
        </w:tc>
      </w:tr>
      <w:tr>
        <w:tc>
          <w:tcPr>
            <w:tcW w:w="1400" w:type="pct"/>
            <w:shd w:val="clear" w:color="auto" w:fill="FFFFFF"/>
          </w:tcPr>
          <w:p>
            <w:r>
              <w:rPr>
                <w:color w:val="222222"/>
                <w:sz w:val="20"/>
                <w:szCs w:val="20"/>
              </w:rPr>
              <w:t xml:space="preserve">Fuente del estímulo</w:t>
            </w:r>
          </w:p>
        </w:tc>
        <w:tc>
          <w:tcPr>
            <w:shd w:val="clear" w:color="auto" w:fill="FFFFFF"/>
          </w:tcPr>
          <w:p>
            <w:r>
              <w:rPr>
                <w:color w:val="222222"/>
                <w:sz w:val="20"/>
                <w:szCs w:val="20"/>
              </w:rPr>
              <w:t xml:space="preserve">Actor interno con credenciales comprometidas</w:t>
            </w:r>
          </w:p>
        </w:tc>
      </w:tr>
      <w:tr>
        <w:tc>
          <w:tcPr>
            <w:tcW w:w="1400" w:type="pct"/>
            <w:shd w:val="clear" w:color="auto" w:fill="FFFFFF"/>
          </w:tcPr>
          <w:p>
            <w:r>
              <w:rPr>
                <w:color w:val="222222"/>
                <w:sz w:val="20"/>
                <w:szCs w:val="20"/>
              </w:rPr>
              <w:t xml:space="preserve">Estímulo</w:t>
            </w:r>
          </w:p>
        </w:tc>
        <w:tc>
          <w:tcPr>
            <w:shd w:val="clear" w:color="auto" w:fill="FFFFFF"/>
          </w:tcPr>
          <w:p>
            <w:r>
              <w:rPr>
                <w:color w:val="222222"/>
                <w:sz w:val="20"/>
                <w:szCs w:val="20"/>
              </w:rPr>
              <w:t xml:space="preserve">Intento de modificar el contenido de una póliza emitida y firmada digitalmente, almacenada en S3</w:t>
            </w:r>
          </w:p>
        </w:tc>
      </w:tr>
      <w:tr>
        <w:tc>
          <w:tcPr>
            <w:tcW w:w="1400" w:type="pct"/>
            <w:shd w:val="clear" w:color="auto" w:fill="FFFFFF"/>
          </w:tcPr>
          <w:p>
            <w:r>
              <w:rPr>
                <w:color w:val="222222"/>
                <w:sz w:val="20"/>
                <w:szCs w:val="20"/>
              </w:rPr>
              <w:t xml:space="preserve">Ambiente</w:t>
            </w:r>
          </w:p>
        </w:tc>
        <w:tc>
          <w:tcPr>
            <w:shd w:val="clear" w:color="auto" w:fill="FFFFFF"/>
          </w:tcPr>
          <w:p>
            <w:r>
              <w:rPr>
                <w:color w:val="222222"/>
                <w:sz w:val="20"/>
                <w:szCs w:val="20"/>
              </w:rPr>
              <w:t xml:space="preserve">Sistema en producción, póliza ya emitida con firma electrónica válida del cliente</w:t>
            </w:r>
          </w:p>
        </w:tc>
      </w:tr>
      <w:tr>
        <w:tc>
          <w:tcPr>
            <w:tcW w:w="1400" w:type="pct"/>
            <w:shd w:val="clear" w:color="auto" w:fill="FFFFFF"/>
          </w:tcPr>
          <w:p>
            <w:r>
              <w:rPr>
                <w:color w:val="222222"/>
                <w:sz w:val="20"/>
                <w:szCs w:val="20"/>
              </w:rPr>
              <w:t xml:space="preserve">Artefacto</w:t>
            </w:r>
          </w:p>
        </w:tc>
        <w:tc>
          <w:tcPr>
            <w:shd w:val="clear" w:color="auto" w:fill="FFFFFF"/>
          </w:tcPr>
          <w:p>
            <w:r>
              <w:rPr>
                <w:color w:val="222222"/>
                <w:sz w:val="20"/>
                <w:szCs w:val="20"/>
              </w:rPr>
              <w:t xml:space="preserve">Servicio de Emisión &amp; Pólizas + Amazon S3 + AWS KMS + registro de auditoría</w:t>
            </w:r>
          </w:p>
        </w:tc>
      </w:tr>
      <w:tr>
        <w:tc>
          <w:tcPr>
            <w:tcW w:w="1400" w:type="pct"/>
            <w:shd w:val="clear" w:color="auto" w:fill="FFFFFF"/>
          </w:tcPr>
          <w:p>
            <w:r>
              <w:rPr>
                <w:color w:val="222222"/>
                <w:sz w:val="20"/>
                <w:szCs w:val="20"/>
              </w:rPr>
              <w:t xml:space="preserve">Respuesta</w:t>
            </w:r>
          </w:p>
        </w:tc>
        <w:tc>
          <w:tcPr>
            <w:shd w:val="clear" w:color="auto" w:fill="FFFFFF"/>
          </w:tcPr>
          <w:p>
            <w:r>
              <w:rPr>
                <w:color w:val="222222"/>
                <w:sz w:val="20"/>
                <w:szCs w:val="20"/>
              </w:rPr>
              <w:t xml:space="preserve">El sistema verifica la firma digital de la póliza en cada lectura; solo las modificaciones realizadas por el servicio de Emisión con token de autorización válido quedan registradas; cualquier intento de alteración directa sobre S3 es detectado y auditado</w:t>
            </w:r>
          </w:p>
        </w:tc>
      </w:tr>
      <w:tr>
        <w:tc>
          <w:tcPr>
            <w:tcW w:w="1400" w:type="pct"/>
            <w:shd w:val="clear" w:color="auto" w:fill="FFFFFF"/>
          </w:tcPr>
          <w:p>
            <w:r>
              <w:rPr>
                <w:color w:val="222222"/>
                <w:sz w:val="20"/>
                <w:szCs w:val="20"/>
              </w:rPr>
              <w:t xml:space="preserve">Medida de respuesta</w:t>
            </w:r>
          </w:p>
        </w:tc>
        <w:tc>
          <w:tcPr>
            <w:shd w:val="clear" w:color="auto" w:fill="FFFFFF"/>
          </w:tcPr>
          <w:p>
            <w:r>
              <w:rPr>
                <w:color w:val="222222"/>
                <w:sz w:val="20"/>
                <w:szCs w:val="20"/>
              </w:rPr>
              <w:t xml:space="preserve">100% de las modificaciones a pólizas emitidas son realizadas por servicios autorizados con token válido; 100% de los intentos de alteración no autorizada son detectados y registrados en el log de auditoría en &lt; 1 segundo</w:t>
            </w:r>
          </w:p>
        </w:tc>
      </w:tr>
    </w:tbl>
    <w:p>
      <w:pPr>
        <w:spacing w:after="60"/>
      </w:pPr>
    </w:p>
    <w:p>
      <w:pPr>
        <w:spacing w:after="0"/>
      </w:pPr>
      <w:r>
        <w:rPr>
          <w:b/>
          <w:bCs/>
        </w:rPr>
        <w:t xml:space="preserve">Escenario narrativo:</w:t>
      </w:r>
    </w:p>
    <w:p>
      <w:pPr>
        <w:spacing w:after="80"/>
        <w:ind w:left="360"/>
      </w:pPr>
      <w:r>
        <w:rPr>
          <w:i/>
          <w:iCs/>
        </w:rPr>
        <w:t xml:space="preserve">Como actor interno con credenciales comprometidas, cuando se intenta modificar el contenido de una póliza emitida y firmada digitalmente almacenada en S3, dado que el ambiente es un sistema en producción con la póliza ya emitida y con firma electrónica válida del cliente, quiero que el sistema verifique la firma digital de la póliza en cada lectura y que cualquier intento de alteración directa sobre S3 sea detectado y auditado, esto debe suceder garantizando que el 100% de las modificaciones a pólizas emitidas provengan de servicios autorizados con token válido, y que el 100% de los intentos de alteración no autorizada sean detectados y registrados en el log de auditoría en menos de 1 segundo.</w:t>
      </w:r>
    </w:p>
    <w:p>
      <w:pPr>
        <w:spacing w:after="0"/>
      </w:pPr>
      <w:r>
        <w:rPr>
          <w:b/>
          <w:bCs/>
        </w:rPr>
        <w:t xml:space="preserve">Historia de usuario en Jira:</w:t>
      </w:r>
    </w:p>
    <w:p>
      <w:pPr>
        <w:spacing w:after="80"/>
        <w:ind w:left="360"/>
      </w:pPr>
      <w:r>
        <w:rPr>
          <w:sz w:val="20"/>
          <w:szCs w:val="20"/>
          <w:color w:val="1F4E79"/>
        </w:rPr>
        <w:t xml:space="preserve">HU-ARQ-11 — Integridad y Auditoría de Pólizas Emitidas  —  https://proyectointegradorgrupo2.atlassian.net/browse/SOL-45</w:t>
      </w:r>
    </w:p>
    <w:p>
      <w:pPr>
        <w:spacing w:after="0"/>
      </w:pPr>
      <w:r>
        <w:rPr>
          <w:b/>
          <w:bCs/>
        </w:rPr>
        <w:t xml:space="preserve">Dependencias:</w:t>
      </w:r>
    </w:p>
    <w:p>
      <w:pPr>
        <w:spacing w:after="40"/>
        <w:ind w:left="360"/>
      </w:pPr>
      <w:r>
        <w:rPr>
          <w:sz w:val="20"/>
          <w:szCs w:val="20"/>
        </w:rPr>
        <w:t xml:space="preserve">• FE-02 (SOL-4) — Suscripción y emisión: la póliza emitida es el artefacto protegido por este ASR</w:t>
      </w:r>
    </w:p>
    <w:p>
      <w:pPr>
        <w:spacing w:after="40"/>
        <w:ind w:left="360"/>
      </w:pPr>
      <w:r>
        <w:rPr>
          <w:sz w:val="20"/>
          <w:szCs w:val="20"/>
        </w:rPr>
        <w:t xml:space="preserve">• HU-ARQ-03 (SOL-23) — Tokenización PII: la firma digital de la póliza también protege campos PII embebidos</w:t>
      </w:r>
    </w:p>
    <w:p>
      <w:pPr>
        <w:spacing w:after="40"/>
        <w:ind w:left="360"/>
      </w:pPr>
      <w:r>
        <w:rPr>
          <w:sz w:val="20"/>
          <w:szCs w:val="20"/>
        </w:rPr>
        <w:t xml:space="preserve">• ASR-4.1 (SOL-23) — confidencialidad: la integridad y la confidencialidad son complementarias en el mismo documento</w:t>
      </w:r>
    </w:p>
    <w:p>
      <w:pPr>
        <w:spacing w:after="40"/>
        <w:ind w:left="360"/>
      </w:pPr>
      <w:r>
        <w:rPr>
          <w:sz w:val="20"/>
          <w:szCs w:val="20"/>
        </w:rPr>
        <w:t xml:space="preserve">• HU-ARQ-04 (SOL-22) — Consentimientos: el log de auditoría de consentimientos usa la misma infraestructura S3 Object Lock</w:t>
      </w:r>
    </w:p>
    <w:p>
      <w:pPr>
        <w:spacing w:after="60"/>
      </w:pPr>
    </w:p>
    <w:p>
      <w:pPr>
        <w:pStyle w:val="H1"/>
      </w:pPr>
      <w:r>
        <w:t xml:space="preserve">Sección 2: Catálogo de Historias de Usuario</w:t>
      </w:r>
    </w:p>
    <w:p>
      <w:r>
        <w:t xml:space="preserve">Listado completo de las 20 historias del backlog con enlace directo a Jira. Para ver criterios de aceptación, descripción completa y ASR asociado, consultar directamente la historia en el tablero.</w:t>
      </w:r>
    </w:p>
    <w:p>
      <w:pPr>
        <w:spacing w:after="60"/>
      </w:pPr>
    </w:p>
    <w:tbl>
      <w:tblPr>
        <w:tblStyle w:val="TableGrid"/>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r>
        <w:trPr>
          <w:tblHeader/>
        </w:trPr>
        <w:tc>
          <w:tcPr>
            <w:shd w:val="clear" w:color="auto" w:fill="1F4E79"/>
          </w:tcPr>
          <w:p>
            <w:r>
              <w:rPr>
                <w:b/>
                <w:bCs/>
                <w:color w:val="FFFFFF"/>
                <w:sz w:val="20"/>
                <w:szCs w:val="20"/>
              </w:rPr>
              <w:t>ID</w:t>
            </w:r>
          </w:p>
        </w:tc>
        <w:tc>
          <w:tcPr>
            <w:shd w:val="clear" w:color="auto" w:fill="1F4E79"/>
          </w:tcPr>
          <w:p>
            <w:r>
              <w:rPr>
                <w:b/>
                <w:bCs/>
                <w:color w:val="FFFFFF"/>
                <w:sz w:val="20"/>
                <w:szCs w:val="20"/>
              </w:rPr>
              <w:t>Nombre de la historia</w:t>
            </w:r>
          </w:p>
        </w:tc>
        <w:tc>
          <w:tcPr>
            <w:shd w:val="clear" w:color="auto" w:fill="1F4E79"/>
          </w:tcPr>
          <w:p>
            <w:r>
              <w:rPr>
                <w:b/>
                <w:bCs/>
                <w:color w:val="FFFFFF"/>
                <w:sz w:val="20"/>
                <w:szCs w:val="20"/>
              </w:rPr>
              <w:t>Enlace en Jira</w:t>
            </w:r>
          </w:p>
        </w:tc>
      </w:tr>
      <w:tr>
        <w:tc>
          <w:tcPr>
            <w:shd w:val="clear" w:color="auto" w:fill="FFFFFF"/>
          </w:tcPr>
          <w:p>
            <w:r>
              <w:rPr>
                <w:b/>
                <w:bCs/>
                <w:sz w:val="20"/>
                <w:szCs w:val="20"/>
              </w:rPr>
              <w:t xml:space="preserve">SOL-3</w:t>
            </w:r>
          </w:p>
        </w:tc>
        <w:tc>
          <w:tcPr>
            <w:shd w:val="clear" w:color="auto" w:fill="FFFFFF"/>
          </w:tcPr>
          <w:p>
            <w:r>
              <w:rPr>
                <w:sz w:val="20"/>
                <w:szCs w:val="20"/>
              </w:rPr>
              <w:t xml:space="preserve">Cotización de seguros en tiempo real</w:t>
            </w:r>
          </w:p>
        </w:tc>
        <w:tc>
          <w:tcPr>
            <w:shd w:val="clear" w:color="auto" w:fill="FFFFFF"/>
          </w:tcPr>
          <w:p>
            <w:r>
              <w:rPr>
                <w:color w:val="1F4E79"/>
                <w:u w:val="single"/>
                <w:sz w:val="20"/>
                <w:szCs w:val="20"/>
              </w:rPr>
              <w:t xml:space="preserve">https://proyectointegradorgrupo2.atlassian.net/browse/SOL-3</w:t>
            </w:r>
          </w:p>
        </w:tc>
      </w:tr>
      <w:tr>
        <w:tc>
          <w:tcPr>
            <w:shd w:val="clear" w:color="auto" w:fill="FFFFFF"/>
          </w:tcPr>
          <w:p>
            <w:r>
              <w:rPr>
                <w:b/>
                <w:bCs/>
                <w:sz w:val="20"/>
                <w:szCs w:val="20"/>
              </w:rPr>
              <w:t xml:space="preserve">SOL-4</w:t>
            </w:r>
          </w:p>
        </w:tc>
        <w:tc>
          <w:tcPr>
            <w:shd w:val="clear" w:color="auto" w:fill="FFFFFF"/>
          </w:tcPr>
          <w:p>
            <w:r>
              <w:rPr>
                <w:sz w:val="20"/>
                <w:szCs w:val="20"/>
              </w:rPr>
              <w:t xml:space="preserve">Suscripción y emisión de póliza</w:t>
            </w:r>
          </w:p>
        </w:tc>
        <w:tc>
          <w:tcPr>
            <w:shd w:val="clear" w:color="auto" w:fill="FFFFFF"/>
          </w:tcPr>
          <w:p>
            <w:r>
              <w:rPr>
                <w:color w:val="1F4E79"/>
                <w:u w:val="single"/>
                <w:sz w:val="20"/>
                <w:szCs w:val="20"/>
              </w:rPr>
              <w:t xml:space="preserve">https://proyectointegradorgrupo2.atlassian.net/browse/SOL-4</w:t>
            </w:r>
          </w:p>
        </w:tc>
      </w:tr>
      <w:tr>
        <w:tc>
          <w:tcPr>
            <w:shd w:val="clear" w:color="auto" w:fill="FFFFFF"/>
          </w:tcPr>
          <w:p>
            <w:r>
              <w:rPr>
                <w:b/>
                <w:bCs/>
                <w:sz w:val="20"/>
                <w:szCs w:val="20"/>
              </w:rPr>
              <w:t xml:space="preserve">SOL-5</w:t>
            </w:r>
          </w:p>
        </w:tc>
        <w:tc>
          <w:tcPr>
            <w:shd w:val="clear" w:color="auto" w:fill="FFFFFF"/>
          </w:tcPr>
          <w:p>
            <w:r>
              <w:rPr>
                <w:sz w:val="20"/>
                <w:szCs w:val="20"/>
              </w:rPr>
              <w:t xml:space="preserve">Administración de pólizas</w:t>
            </w:r>
          </w:p>
        </w:tc>
        <w:tc>
          <w:tcPr>
            <w:shd w:val="clear" w:color="auto" w:fill="FFFFFF"/>
          </w:tcPr>
          <w:p>
            <w:r>
              <w:rPr>
                <w:color w:val="1F4E79"/>
                <w:u w:val="single"/>
                <w:sz w:val="20"/>
                <w:szCs w:val="20"/>
              </w:rPr>
              <w:t xml:space="preserve">https://proyectointegradorgrupo2.atlassian.net/browse/SOL-5</w:t>
            </w:r>
          </w:p>
        </w:tc>
      </w:tr>
      <w:tr>
        <w:tc>
          <w:tcPr>
            <w:shd w:val="clear" w:color="auto" w:fill="FFFFFF"/>
          </w:tcPr>
          <w:p>
            <w:r>
              <w:rPr>
                <w:b/>
                <w:bCs/>
                <w:sz w:val="20"/>
                <w:szCs w:val="20"/>
              </w:rPr>
              <w:t xml:space="preserve">SOL-6</w:t>
            </w:r>
          </w:p>
        </w:tc>
        <w:tc>
          <w:tcPr>
            <w:shd w:val="clear" w:color="auto" w:fill="FFFFFF"/>
          </w:tcPr>
          <w:p>
            <w:r>
              <w:rPr>
                <w:sz w:val="20"/>
                <w:szCs w:val="20"/>
              </w:rPr>
              <w:t xml:space="preserve">Gestión y seguimiento de siniestros</w:t>
            </w:r>
          </w:p>
        </w:tc>
        <w:tc>
          <w:tcPr>
            <w:shd w:val="clear" w:color="auto" w:fill="FFFFFF"/>
          </w:tcPr>
          <w:p>
            <w:r>
              <w:rPr>
                <w:color w:val="1F4E79"/>
                <w:u w:val="single"/>
                <w:sz w:val="20"/>
                <w:szCs w:val="20"/>
              </w:rPr>
              <w:t xml:space="preserve">https://proyectointegradorgrupo2.atlassian.net/browse/SOL-6</w:t>
            </w:r>
          </w:p>
        </w:tc>
      </w:tr>
      <w:tr>
        <w:tc>
          <w:tcPr>
            <w:shd w:val="clear" w:color="auto" w:fill="FFFFFF"/>
          </w:tcPr>
          <w:p>
            <w:r>
              <w:rPr>
                <w:b/>
                <w:bCs/>
                <w:sz w:val="20"/>
                <w:szCs w:val="20"/>
              </w:rPr>
              <w:t xml:space="preserve">SOL-10</w:t>
            </w:r>
          </w:p>
        </w:tc>
        <w:tc>
          <w:tcPr>
            <w:shd w:val="clear" w:color="auto" w:fill="FFFFFF"/>
          </w:tcPr>
          <w:p>
            <w:r>
              <w:rPr>
                <w:sz w:val="20"/>
                <w:szCs w:val="20"/>
              </w:rPr>
              <w:t xml:space="preserve">Autenticación biométrica y KYC/AML</w:t>
            </w:r>
          </w:p>
        </w:tc>
        <w:tc>
          <w:tcPr>
            <w:shd w:val="clear" w:color="auto" w:fill="FFFFFF"/>
          </w:tcPr>
          <w:p>
            <w:r>
              <w:rPr>
                <w:color w:val="1F4E79"/>
                <w:u w:val="single"/>
                <w:sz w:val="20"/>
                <w:szCs w:val="20"/>
              </w:rPr>
              <w:t xml:space="preserve">https://proyectointegradorgrupo2.atlassian.net/browse/SOL-10</w:t>
            </w:r>
          </w:p>
        </w:tc>
      </w:tr>
      <w:tr>
        <w:tc>
          <w:tcPr>
            <w:shd w:val="clear" w:color="auto" w:fill="FFFFFF"/>
          </w:tcPr>
          <w:p>
            <w:r>
              <w:rPr>
                <w:b/>
                <w:bCs/>
                <w:sz w:val="20"/>
                <w:szCs w:val="20"/>
              </w:rPr>
              <w:t xml:space="preserve">SOL-11</w:t>
            </w:r>
          </w:p>
        </w:tc>
        <w:tc>
          <w:tcPr>
            <w:shd w:val="clear" w:color="auto" w:fill="FFFFFF"/>
          </w:tcPr>
          <w:p>
            <w:r>
              <w:rPr>
                <w:sz w:val="20"/>
                <w:szCs w:val="20"/>
              </w:rPr>
              <w:t xml:space="preserve">Billetera de pólizas móvil (offline)</w:t>
            </w:r>
          </w:p>
        </w:tc>
        <w:tc>
          <w:tcPr>
            <w:shd w:val="clear" w:color="auto" w:fill="FFFFFF"/>
          </w:tcPr>
          <w:p>
            <w:r>
              <w:rPr>
                <w:color w:val="1F4E79"/>
                <w:u w:val="single"/>
                <w:sz w:val="20"/>
                <w:szCs w:val="20"/>
              </w:rPr>
              <w:t xml:space="preserve">https://proyectointegradorgrupo2.atlassian.net/browse/SOL-11</w:t>
            </w:r>
          </w:p>
        </w:tc>
      </w:tr>
      <w:tr>
        <w:tc>
          <w:tcPr>
            <w:shd w:val="clear" w:color="auto" w:fill="FFFFFF"/>
          </w:tcPr>
          <w:p>
            <w:r>
              <w:rPr>
                <w:b/>
                <w:bCs/>
                <w:sz w:val="20"/>
                <w:szCs w:val="20"/>
              </w:rPr>
              <w:t xml:space="preserve">SOL-13</w:t>
            </w:r>
          </w:p>
        </w:tc>
        <w:tc>
          <w:tcPr>
            <w:shd w:val="clear" w:color="auto" w:fill="FFFFFF"/>
          </w:tcPr>
          <w:p>
            <w:r>
              <w:rPr>
                <w:sz w:val="20"/>
                <w:szCs w:val="20"/>
              </w:rPr>
              <w:t xml:space="preserve">Notificaciones y asistencia geolocalizada</w:t>
            </w:r>
          </w:p>
        </w:tc>
        <w:tc>
          <w:tcPr>
            <w:shd w:val="clear" w:color="auto" w:fill="FFFFFF"/>
          </w:tcPr>
          <w:p>
            <w:r>
              <w:rPr>
                <w:color w:val="1F4E79"/>
                <w:u w:val="single"/>
                <w:sz w:val="20"/>
                <w:szCs w:val="20"/>
              </w:rPr>
              <w:t xml:space="preserve">https://proyectointegradorgrupo2.atlassian.net/browse/SOL-13</w:t>
            </w:r>
          </w:p>
        </w:tc>
      </w:tr>
      <w:tr>
        <w:tc>
          <w:tcPr>
            <w:shd w:val="clear" w:color="auto" w:fill="FFFFFF"/>
          </w:tcPr>
          <w:p>
            <w:r>
              <w:rPr>
                <w:b/>
                <w:bCs/>
                <w:sz w:val="20"/>
                <w:szCs w:val="20"/>
              </w:rPr>
              <w:t xml:space="preserve">SOL-12</w:t>
            </w:r>
          </w:p>
        </w:tc>
        <w:tc>
          <w:tcPr>
            <w:shd w:val="clear" w:color="auto" w:fill="FFFFFF"/>
          </w:tcPr>
          <w:p>
            <w:r>
              <w:rPr>
                <w:sz w:val="20"/>
                <w:szCs w:val="20"/>
              </w:rPr>
              <w:t xml:space="preserve">Reporte de siniestros con evidencia multimedia</w:t>
            </w:r>
          </w:p>
        </w:tc>
        <w:tc>
          <w:tcPr>
            <w:shd w:val="clear" w:color="auto" w:fill="FFFFFF"/>
          </w:tcPr>
          <w:p>
            <w:r>
              <w:rPr>
                <w:color w:val="1F4E79"/>
                <w:u w:val="single"/>
                <w:sz w:val="20"/>
                <w:szCs w:val="20"/>
              </w:rPr>
              <w:t xml:space="preserve">https://proyectointegradorgrupo2.atlassian.net/browse/SOL-12</w:t>
            </w:r>
          </w:p>
        </w:tc>
      </w:tr>
      <w:tr>
        <w:tc>
          <w:tcPr>
            <w:shd w:val="clear" w:color="auto" w:fill="FFFFFF"/>
          </w:tcPr>
          <w:p>
            <w:r>
              <w:rPr>
                <w:b/>
                <w:bCs/>
                <w:sz w:val="20"/>
                <w:szCs w:val="20"/>
              </w:rPr>
              <w:t xml:space="preserve">SOL-31</w:t>
            </w:r>
          </w:p>
        </w:tc>
        <w:tc>
          <w:tcPr>
            <w:shd w:val="clear" w:color="auto" w:fill="FFFFFF"/>
          </w:tcPr>
          <w:p>
            <w:r>
              <w:rPr>
                <w:sz w:val="20"/>
                <w:szCs w:val="20"/>
              </w:rPr>
              <w:t xml:space="preserve">Portal de socios distribuidores (API B2B)</w:t>
            </w:r>
          </w:p>
        </w:tc>
        <w:tc>
          <w:tcPr>
            <w:shd w:val="clear" w:color="auto" w:fill="FFFFFF"/>
          </w:tcPr>
          <w:p>
            <w:r>
              <w:rPr>
                <w:color w:val="1F4E79"/>
                <w:u w:val="single"/>
                <w:sz w:val="20"/>
                <w:szCs w:val="20"/>
              </w:rPr>
              <w:t xml:space="preserve">https://proyectointegradorgrupo2.atlassian.net/browse/SOL-31</w:t>
            </w:r>
          </w:p>
        </w:tc>
      </w:tr>
      <w:tr>
        <w:tc>
          <w:tcPr>
            <w:shd w:val="clear" w:color="auto" w:fill="FFFFFF"/>
          </w:tcPr>
          <w:p>
            <w:r>
              <w:rPr>
                <w:b/>
                <w:bCs/>
                <w:sz w:val="20"/>
                <w:szCs w:val="20"/>
              </w:rPr>
              <w:t xml:space="preserve">SOL-21</w:t>
            </w:r>
          </w:p>
        </w:tc>
        <w:tc>
          <w:tcPr>
            <w:shd w:val="clear" w:color="auto" w:fill="FFFFFF"/>
          </w:tcPr>
          <w:p>
            <w:r>
              <w:rPr>
                <w:sz w:val="20"/>
                <w:szCs w:val="20"/>
              </w:rPr>
              <w:t xml:space="preserve">Parametrización Multitenant / Multirregión</w:t>
            </w:r>
          </w:p>
        </w:tc>
        <w:tc>
          <w:tcPr>
            <w:shd w:val="clear" w:color="auto" w:fill="FFFFFF"/>
          </w:tcPr>
          <w:p>
            <w:r>
              <w:rPr>
                <w:color w:val="1F4E79"/>
                <w:u w:val="single"/>
                <w:sz w:val="20"/>
                <w:szCs w:val="20"/>
              </w:rPr>
              <w:t xml:space="preserve">https://proyectointegradorgrupo2.atlassian.net/browse/SOL-21</w:t>
            </w:r>
          </w:p>
        </w:tc>
      </w:tr>
      <w:tr>
        <w:tc>
          <w:tcPr>
            <w:shd w:val="clear" w:color="auto" w:fill="FFFFFF"/>
          </w:tcPr>
          <w:p>
            <w:r>
              <w:rPr>
                <w:b/>
                <w:bCs/>
                <w:sz w:val="20"/>
                <w:szCs w:val="20"/>
              </w:rPr>
              <w:t xml:space="preserve">SOL-20</w:t>
            </w:r>
          </w:p>
        </w:tc>
        <w:tc>
          <w:tcPr>
            <w:shd w:val="clear" w:color="auto" w:fill="FFFFFF"/>
          </w:tcPr>
          <w:p>
            <w:r>
              <w:rPr>
                <w:sz w:val="20"/>
                <w:szCs w:val="20"/>
              </w:rPr>
              <w:t xml:space="preserve">Abstracciones de Pasarelas de Pago (Adapter)</w:t>
            </w:r>
          </w:p>
        </w:tc>
        <w:tc>
          <w:tcPr>
            <w:shd w:val="clear" w:color="auto" w:fill="FFFFFF"/>
          </w:tcPr>
          <w:p>
            <w:r>
              <w:rPr>
                <w:color w:val="1F4E79"/>
                <w:u w:val="single"/>
                <w:sz w:val="20"/>
                <w:szCs w:val="20"/>
              </w:rPr>
              <w:t xml:space="preserve">https://proyectointegradorgrupo2.atlassian.net/browse/SOL-20</w:t>
            </w:r>
          </w:p>
        </w:tc>
      </w:tr>
      <w:tr>
        <w:tc>
          <w:tcPr>
            <w:shd w:val="clear" w:color="auto" w:fill="FFFFFF"/>
          </w:tcPr>
          <w:p>
            <w:r>
              <w:rPr>
                <w:b/>
                <w:bCs/>
                <w:sz w:val="20"/>
                <w:szCs w:val="20"/>
              </w:rPr>
              <w:t xml:space="preserve">SOL-23</w:t>
            </w:r>
          </w:p>
        </w:tc>
        <w:tc>
          <w:tcPr>
            <w:shd w:val="clear" w:color="auto" w:fill="FFFFFF"/>
          </w:tcPr>
          <w:p>
            <w:r>
              <w:rPr>
                <w:sz w:val="20"/>
                <w:szCs w:val="20"/>
              </w:rPr>
              <w:t xml:space="preserve">Tokenización de PII y Trazabilidad</w:t>
            </w:r>
          </w:p>
        </w:tc>
        <w:tc>
          <w:tcPr>
            <w:shd w:val="clear" w:color="auto" w:fill="FFFFFF"/>
          </w:tcPr>
          <w:p>
            <w:r>
              <w:rPr>
                <w:color w:val="1F4E79"/>
                <w:u w:val="single"/>
                <w:sz w:val="20"/>
                <w:szCs w:val="20"/>
              </w:rPr>
              <w:t xml:space="preserve">https://proyectointegradorgrupo2.atlassian.net/browse/SOL-23</w:t>
            </w:r>
          </w:p>
        </w:tc>
      </w:tr>
      <w:tr>
        <w:tc>
          <w:tcPr>
            <w:shd w:val="clear" w:color="auto" w:fill="FFFFFF"/>
          </w:tcPr>
          <w:p>
            <w:r>
              <w:rPr>
                <w:b/>
                <w:bCs/>
                <w:sz w:val="20"/>
                <w:szCs w:val="20"/>
              </w:rPr>
              <w:t xml:space="preserve">SOL-22</w:t>
            </w:r>
          </w:p>
        </w:tc>
        <w:tc>
          <w:tcPr>
            <w:shd w:val="clear" w:color="auto" w:fill="FFFFFF"/>
          </w:tcPr>
          <w:p>
            <w:r>
              <w:rPr>
                <w:sz w:val="20"/>
                <w:szCs w:val="20"/>
              </w:rPr>
              <w:t xml:space="preserve">Gestión de Consentimientos Open Finance</w:t>
            </w:r>
          </w:p>
        </w:tc>
        <w:tc>
          <w:tcPr>
            <w:shd w:val="clear" w:color="auto" w:fill="FFFFFF"/>
          </w:tcPr>
          <w:p>
            <w:r>
              <w:rPr>
                <w:color w:val="1F4E79"/>
                <w:u w:val="single"/>
                <w:sz w:val="20"/>
                <w:szCs w:val="20"/>
              </w:rPr>
              <w:t xml:space="preserve">https://proyectointegradorgrupo2.atlassian.net/browse/SOL-22</w:t>
            </w:r>
          </w:p>
        </w:tc>
      </w:tr>
      <w:tr>
        <w:tc>
          <w:tcPr>
            <w:shd w:val="clear" w:color="auto" w:fill="FFFFFF"/>
          </w:tcPr>
          <w:p>
            <w:r>
              <w:rPr>
                <w:b/>
                <w:bCs/>
                <w:sz w:val="20"/>
                <w:szCs w:val="20"/>
              </w:rPr>
              <w:t xml:space="preserve">SOL-26</w:t>
            </w:r>
          </w:p>
        </w:tc>
        <w:tc>
          <w:tcPr>
            <w:shd w:val="clear" w:color="auto" w:fill="FFFFFF"/>
          </w:tcPr>
          <w:p>
            <w:r>
              <w:rPr>
                <w:sz w:val="20"/>
                <w:szCs w:val="20"/>
              </w:rPr>
              <w:t xml:space="preserve">Persistencia PostgreSQL + Redis</w:t>
            </w:r>
          </w:p>
        </w:tc>
        <w:tc>
          <w:tcPr>
            <w:shd w:val="clear" w:color="auto" w:fill="FFFFFF"/>
          </w:tcPr>
          <w:p>
            <w:r>
              <w:rPr>
                <w:color w:val="1F4E79"/>
                <w:u w:val="single"/>
                <w:sz w:val="20"/>
                <w:szCs w:val="20"/>
              </w:rPr>
              <w:t xml:space="preserve">https://proyectointegradorgrupo2.atlassian.net/browse/SOL-26</w:t>
            </w:r>
          </w:p>
        </w:tc>
      </w:tr>
      <w:tr>
        <w:tc>
          <w:tcPr>
            <w:shd w:val="clear" w:color="auto" w:fill="FFFFFF"/>
          </w:tcPr>
          <w:p>
            <w:r>
              <w:rPr>
                <w:b/>
                <w:bCs/>
                <w:sz w:val="20"/>
                <w:szCs w:val="20"/>
              </w:rPr>
              <w:t xml:space="preserve">SOL-29</w:t>
            </w:r>
          </w:p>
        </w:tc>
        <w:tc>
          <w:tcPr>
            <w:shd w:val="clear" w:color="auto" w:fill="FFFFFF"/>
          </w:tcPr>
          <w:p>
            <w:r>
              <w:rPr>
                <w:sz w:val="20"/>
                <w:szCs w:val="20"/>
              </w:rPr>
              <w:t xml:space="preserve">Tolerancia a Fallos y Failover (Circuit Breaker)</w:t>
            </w:r>
          </w:p>
        </w:tc>
        <w:tc>
          <w:tcPr>
            <w:shd w:val="clear" w:color="auto" w:fill="FFFFFF"/>
          </w:tcPr>
          <w:p>
            <w:r>
              <w:rPr>
                <w:color w:val="1F4E79"/>
                <w:u w:val="single"/>
                <w:sz w:val="20"/>
                <w:szCs w:val="20"/>
              </w:rPr>
              <w:t xml:space="preserve">https://proyectointegradorgrupo2.atlassian.net/browse/SOL-29</w:t>
            </w:r>
          </w:p>
        </w:tc>
      </w:tr>
      <w:tr>
        <w:tc>
          <w:tcPr>
            <w:shd w:val="clear" w:color="auto" w:fill="FFFFFF"/>
          </w:tcPr>
          <w:p>
            <w:r>
              <w:rPr>
                <w:b/>
                <w:bCs/>
                <w:sz w:val="20"/>
                <w:szCs w:val="20"/>
              </w:rPr>
              <w:t xml:space="preserve">SOL-28</w:t>
            </w:r>
          </w:p>
        </w:tc>
        <w:tc>
          <w:tcPr>
            <w:shd w:val="clear" w:color="auto" w:fill="FFFFFF"/>
          </w:tcPr>
          <w:p>
            <w:r>
              <w:rPr>
                <w:sz w:val="20"/>
                <w:szCs w:val="20"/>
              </w:rPr>
              <w:t xml:space="preserve">Optimización de Latencia Motor de Scoring</w:t>
            </w:r>
          </w:p>
        </w:tc>
        <w:tc>
          <w:tcPr>
            <w:shd w:val="clear" w:color="auto" w:fill="FFFFFF"/>
          </w:tcPr>
          <w:p>
            <w:r>
              <w:rPr>
                <w:color w:val="1F4E79"/>
                <w:u w:val="single"/>
                <w:sz w:val="20"/>
                <w:szCs w:val="20"/>
              </w:rPr>
              <w:t xml:space="preserve">https://proyectointegradorgrupo2.atlassian.net/browse/SOL-28</w:t>
            </w:r>
          </w:p>
        </w:tc>
      </w:tr>
      <w:tr>
        <w:tc>
          <w:tcPr>
            <w:shd w:val="clear" w:color="auto" w:fill="FFFFFF"/>
          </w:tcPr>
          <w:p>
            <w:r>
              <w:rPr>
                <w:b/>
                <w:bCs/>
                <w:sz w:val="20"/>
                <w:szCs w:val="20"/>
              </w:rPr>
              <w:t xml:space="preserve">SOL-37</w:t>
            </w:r>
          </w:p>
        </w:tc>
        <w:tc>
          <w:tcPr>
            <w:shd w:val="clear" w:color="auto" w:fill="FFFFFF"/>
          </w:tcPr>
          <w:p>
            <w:r>
              <w:rPr>
                <w:sz w:val="20"/>
                <w:szCs w:val="20"/>
              </w:rPr>
              <w:t xml:space="preserve">Event Bus Kafka y Degradación Elegante</w:t>
            </w:r>
          </w:p>
        </w:tc>
        <w:tc>
          <w:tcPr>
            <w:shd w:val="clear" w:color="auto" w:fill="FFFFFF"/>
          </w:tcPr>
          <w:p>
            <w:r>
              <w:rPr>
                <w:color w:val="1F4E79"/>
                <w:u w:val="single"/>
                <w:sz w:val="20"/>
                <w:szCs w:val="20"/>
              </w:rPr>
              <w:t xml:space="preserve">https://proyectointegradorgrupo2.atlassian.net/browse/SOL-37</w:t>
            </w:r>
          </w:p>
        </w:tc>
      </w:tr>
      <w:tr>
        <w:tc>
          <w:tcPr>
            <w:shd w:val="clear" w:color="auto" w:fill="FFFFFF"/>
          </w:tcPr>
          <w:p>
            <w:r>
              <w:rPr>
                <w:b/>
                <w:bCs/>
                <w:sz w:val="20"/>
                <w:szCs w:val="20"/>
              </w:rPr>
              <w:t xml:space="preserve">SOL-43</w:t>
            </w:r>
          </w:p>
        </w:tc>
        <w:tc>
          <w:tcPr>
            <w:shd w:val="clear" w:color="auto" w:fill="FFFFFF"/>
          </w:tcPr>
          <w:p>
            <w:r>
              <w:rPr>
                <w:sz w:val="20"/>
                <w:szCs w:val="20"/>
              </w:rPr>
              <w:t xml:space="preserve">Autoescalado Horizontal EKS (HPA)</w:t>
            </w:r>
          </w:p>
        </w:tc>
        <w:tc>
          <w:tcPr>
            <w:shd w:val="clear" w:color="auto" w:fill="FFFFFF"/>
          </w:tcPr>
          <w:p>
            <w:r>
              <w:rPr>
                <w:color w:val="1F4E79"/>
                <w:u w:val="single"/>
                <w:sz w:val="20"/>
                <w:szCs w:val="20"/>
              </w:rPr>
              <w:t xml:space="preserve">https://proyectointegradorgrupo2.atlassian.net/browse/SOL-43</w:t>
            </w:r>
          </w:p>
        </w:tc>
      </w:tr>
      <w:tr>
        <w:tc>
          <w:tcPr>
            <w:shd w:val="clear" w:color="auto" w:fill="FFFFFF"/>
          </w:tcPr>
          <w:p>
            <w:r>
              <w:rPr>
                <w:b/>
                <w:bCs/>
                <w:sz w:val="20"/>
                <w:szCs w:val="20"/>
              </w:rPr>
              <w:t xml:space="preserve">SOL-44</w:t>
            </w:r>
          </w:p>
        </w:tc>
        <w:tc>
          <w:tcPr>
            <w:shd w:val="clear" w:color="auto" w:fill="FFFFFF"/>
          </w:tcPr>
          <w:p>
            <w:r>
              <w:rPr>
                <w:sz w:val="20"/>
                <w:szCs w:val="20"/>
              </w:rPr>
              <w:t xml:space="preserve">Offline Sync BFF Móvil</w:t>
            </w:r>
          </w:p>
        </w:tc>
        <w:tc>
          <w:tcPr>
            <w:shd w:val="clear" w:color="auto" w:fill="FFFFFF"/>
          </w:tcPr>
          <w:p>
            <w:r>
              <w:rPr>
                <w:color w:val="1F4E79"/>
                <w:u w:val="single"/>
                <w:sz w:val="20"/>
                <w:szCs w:val="20"/>
              </w:rPr>
              <w:t xml:space="preserve">https://proyectointegradorgrupo2.atlassian.net/browse/SOL-44</w:t>
            </w:r>
          </w:p>
        </w:tc>
      </w:tr>
      <w:tr>
        <w:tc>
          <w:tcPr>
            <w:shd w:val="clear" w:color="auto" w:fill="FFFFFF"/>
          </w:tcPr>
          <w:p>
            <w:r>
              <w:rPr>
                <w:b/>
                <w:bCs/>
                <w:sz w:val="20"/>
                <w:szCs w:val="20"/>
              </w:rPr>
              <w:t xml:space="preserve">SOL-45</w:t>
            </w:r>
          </w:p>
        </w:tc>
        <w:tc>
          <w:tcPr>
            <w:shd w:val="clear" w:color="auto" w:fill="FFFFFF"/>
          </w:tcPr>
          <w:p>
            <w:r>
              <w:rPr>
                <w:sz w:val="20"/>
                <w:szCs w:val="20"/>
              </w:rPr>
              <w:t xml:space="preserve">Integridad y Auditoría de Pólizas Emitidas</w:t>
            </w:r>
          </w:p>
        </w:tc>
        <w:tc>
          <w:tcPr>
            <w:shd w:val="clear" w:color="auto" w:fill="FFFFFF"/>
          </w:tcPr>
          <w:p>
            <w:r>
              <w:rPr>
                <w:color w:val="1F4E79"/>
                <w:u w:val="single"/>
                <w:sz w:val="20"/>
                <w:szCs w:val="20"/>
              </w:rPr>
              <w:t xml:space="preserve">https://proyectointegradorgrupo2.atlassian.net/browse/SOL-45</w:t>
            </w:r>
          </w:p>
        </w:tc>
      </w:tr>
    </w:tbl>
    <w:p>
      <w:pPr>
        <w:spacing w:after="60"/>
      </w:pPr>
    </w:p>
    <w:p>
      <w:pPr>
        <w:spacing w:after="40"/>
      </w:pPr>
      <w:r>
        <w:rPr>
          <w:i/>
          <w:iCs/>
          <w:sz w:val="18"/>
          <w:szCs w:val="18"/>
          <w:color w:val="888888"/>
        </w:rPr>
        <w:t xml:space="preserve">Tablero Jira del proyecto: https://proyectointegradorgrupo2.atlassian.net</w:t>
      </w:r>
    </w:p>
    <w:sectPr>
      <w:pgSz w:w="12240" w:h="15840"/>
      <w:pgMar w:top="1134" w:right="1008"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szCs w:val="22"/>
        <w:lang w:val="es-CO"/>
      </w:rPr>
    </w:rPrDefault>
    <w:pPrDefault>
      <w:pPr>
        <w:spacing w:after="120" w:line="276" w:lineRule="auto"/>
      </w:pPr>
    </w:pPrDefault>
  </w:docDefaults>
  <w:style w:type="paragraph" w:default="1" w:styleId="Normal">
    <w:name w:val="Normal"/>
    <w:pPr>
      <w:spacing w:after="120"/>
    </w:pPr>
  </w:style>
  <w:style w:type="paragraph" w:styleId="H1">
    <w:name w:val="heading 1"/>
    <w:basedOn w:val="Normal"/>
    <w:pPr>
      <w:keepNext/>
      <w:keepLines/>
      <w:spacing w:before="360" w:after="120"/>
      <w:outlineLvl w:val="0"/>
    </w:pPr>
    <w:rPr>
      <w:b/>
      <w:bCs/>
      <w:color w:val="1F4E79"/>
      <w:sz w:val="34"/>
      <w:szCs w:val="34"/>
    </w:rPr>
  </w:style>
  <w:style w:type="paragraph" w:styleId="H2">
    <w:name w:val="heading 2"/>
    <w:basedOn w:val="Normal"/>
    <w:pPr>
      <w:keepNext/>
      <w:spacing w:before="280" w:after="80"/>
      <w:outlineLvl w:val="1"/>
    </w:pPr>
    <w:rPr>
      <w:b/>
      <w:bCs/>
      <w:color w:val="2E75B6"/>
      <w:sz w:val="28"/>
      <w:szCs w:val="28"/>
    </w:rPr>
  </w:style>
  <w:style w:type="table" w:styleId="TableGrid">
    <w:name w:val="Table Grid"/>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tcMar>
        <w:top w:w="80" w:type="dxa"/>
        <w:left w:w="108" w:type="dxa"/>
        <w:bottom w:w="80" w:type="dxa"/>
        <w:right w:w="108" w:type="dxa"/>
      </w:tcMar>
    </w:tcPr>
    <w:rPr>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ASRs e Historias de Usuario — Solventa</dc:title>
  <dc:creator>Grupo 2 — Córdoba, Mejía, Gómez, Arandio</dc:creator>
  <dcterms:created xsi:type="dcterms:W3CDTF">2026-08-20T00:00:00Z</dcterms:created>
</cp:coreProperties>
</file>