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600" w:after="80"/>
      </w:pPr>
      <w:r>
        <w:rPr>
          <w:sz w:val="20"/>
          <w:color w:val="000000"/>
        </w:rPr>
        <w:t xml:space="preserve"/>
      </w:r>
    </w:p>
    <w:p>
      <w:pPr>
        <w:jc w:val="center"/>
        <w:spacing w:before="0" w:after="60"/>
      </w:pPr>
      <w:r>
        <w:rPr>
          <w:b/>
          <w:sz w:val="30"/>
          <w:color w:val="1A3A5C"/>
        </w:rPr>
        <w:t xml:space="preserve">Universidad de los Andes</w:t>
      </w:r>
    </w:p>
    <w:p>
      <w:pPr>
        <w:jc w:val="center"/>
        <w:spacing w:before="0" w:after="40"/>
      </w:pPr>
      <w:r>
        <w:rPr>
          <w:sz w:val="19"/>
          <w:color w:val="44607A"/>
        </w:rPr>
        <w:t xml:space="preserve">Facultad de Ingeniería · Departamento de Ingeniería de Sistemas y Computación</w:t>
      </w:r>
    </w:p>
    <w:p>
      <w:pPr>
        <w:jc w:val="center"/>
        <w:spacing w:before="0" w:after="40"/>
      </w:pPr>
      <w:r>
        <w:rPr>
          <w:b/>
          <w:sz w:val="21"/>
          <w:color w:val="44607A"/>
        </w:rPr>
        <w:t xml:space="preserve">Maestría en Ingeniería de Software</w:t>
      </w:r>
    </w:p>
    <w:p>
      <w:pPr>
        <w:jc w:val="center"/>
        <w:spacing w:before="0" w:after="40"/>
      </w:pPr>
      <w:r>
        <w:rPr>
          <w:sz w:val="19"/>
          <w:color w:val="44607A"/>
        </w:rPr>
        <w:t xml:space="preserve">MISW4501 — Proyecto Final</w:t>
      </w:r>
    </w:p>
    <w:p>
      <w:pPr>
        <w:jc w:val="center"/>
        <w:spacing w:before="360" w:after="360"/>
        <w:pBdr>
          <w:bottom w:val="single" w:sz="12" w:space="1" w:color="9CC3E5"/>
        </w:pBdr>
      </w:pPr>
    </w:p>
    <w:p>
      <w:pPr>
        <w:jc w:val="center"/>
        <w:spacing w:before="0" w:after="100"/>
      </w:pPr>
      <w:r>
        <w:rPr>
          <w:b/>
          <w:sz w:val="52"/>
          <w:color w:val="1A3A5C"/>
        </w:rPr>
        <w:t xml:space="preserve">Entregables</w:t>
      </w:r>
    </w:p>
    <w:p>
      <w:pPr>
        <w:jc w:val="center"/>
        <w:spacing w:before="0" w:after="60"/>
      </w:pPr>
      <w:r>
        <w:rPr>
          <w:sz w:val="30"/>
          <w:color w:val="2E6DA4"/>
        </w:rPr>
        <w:t xml:space="preserve">Índice de documentos, tableros y evidencias de la semana</w:t>
      </w:r>
    </w:p>
    <w:p>
      <w:pPr>
        <w:jc w:val="center"/>
        <w:spacing w:before="0" w:after="40"/>
      </w:pPr>
      <w:r>
        <w:rPr>
          <w:sz w:val="24"/>
          <w:color w:val="555555"/>
        </w:rPr>
        <w:t xml:space="preserve">Proyecto Solventa — Aseguradora digital sobre Finanzas Abiertas</w:t>
      </w:r>
    </w:p>
    <w:p>
      <w:pPr>
        <w:jc w:val="center"/>
        <w:spacing w:before="360" w:after="360"/>
        <w:pBdr>
          <w:bottom w:val="single" w:sz="12" w:space="1" w:color="9CC3E5"/>
        </w:pBdr>
      </w:pPr>
    </w:p>
    <w:p>
      <w:pPr>
        <w:jc w:val="center"/>
        <w:spacing w:before="0" w:after="40"/>
      </w:pPr>
      <w:r>
        <w:rPr>
          <w:b/>
          <w:sz w:val="26"/>
          <w:color w:val="1A3A5C"/>
        </w:rPr>
        <w:t xml:space="preserve">Entrega — Semana 4</w:t>
      </w:r>
    </w:p>
    <w:p>
      <w:pPr>
        <w:jc w:val="center"/>
        <w:spacing w:before="0" w:after="200"/>
      </w:pPr>
      <w:r>
        <w:rPr>
          <w:sz w:val="22"/>
          <w:color w:val="444444"/>
        </w:rPr>
        <w:t xml:space="preserve">Grupo 2</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Integrante</w:t>
            </w:r>
          </w:p>
        </w:tc>
        <w:tc>
          <w:tcPr>
            <w:tcW w:w="0" w:type="auto"/>
            <w:shd w:val="clear" w:fill="EDF2F7"/>
          </w:tcPr>
          <w:p>
            <w:pPr>
              <w:spacing w:before="20" w:after="20"/>
            </w:pPr>
            <w:r>
              <w:rPr>
                <w:b/>
              </w:rPr>
              <w:t xml:space="preserve">Rol</w:t>
            </w:r>
          </w:p>
        </w:tc>
      </w:tr>
      <w:tr>
        <w:tc>
          <w:tcPr>
            <w:tcW w:w="0" w:type="auto"/>
          </w:tcPr>
          <w:p>
            <w:pPr>
              <w:spacing w:before="20" w:after="20"/>
            </w:pPr>
            <w:r>
              <w:t xml:space="preserve">Jazmin Natalia Córdoba Puerto</w:t>
            </w:r>
          </w:p>
        </w:tc>
        <w:tc>
          <w:tcPr>
            <w:tcW w:w="0" w:type="auto"/>
          </w:tcPr>
          <w:p>
            <w:pPr>
              <w:spacing w:before="20" w:after="20"/>
            </w:pPr>
            <w:r>
              <w:t xml:space="preserve">Gerente del proyecto — Usabilidad y entrega</w:t>
            </w:r>
          </w:p>
        </w:tc>
      </w:tr>
      <w:tr>
        <w:tc>
          <w:tcPr>
            <w:tcW w:w="0" w:type="auto"/>
          </w:tcPr>
          <w:p>
            <w:pPr>
              <w:spacing w:before="20" w:after="20"/>
            </w:pPr>
            <w:r>
              <w:t xml:space="preserve">Juan Esteban Mejía Izasa</w:t>
            </w:r>
          </w:p>
        </w:tc>
        <w:tc>
          <w:tcPr>
            <w:tcW w:w="0" w:type="auto"/>
          </w:tcPr>
          <w:p>
            <w:pPr>
              <w:spacing w:before="20" w:after="20"/>
            </w:pPr>
            <w:r>
              <w:t xml:space="preserve">Web front, integración de APIs y pagos</w:t>
            </w:r>
          </w:p>
        </w:tc>
      </w:tr>
      <w:tr>
        <w:tc>
          <w:tcPr>
            <w:tcW w:w="0" w:type="auto"/>
          </w:tcPr>
          <w:p>
            <w:pPr>
              <w:spacing w:before="20" w:after="20"/>
            </w:pPr>
            <w:r>
              <w:t xml:space="preserve">Miguel Alejandro Gómez Alarcón</w:t>
            </w:r>
          </w:p>
        </w:tc>
        <w:tc>
          <w:tcPr>
            <w:tcW w:w="0" w:type="auto"/>
          </w:tcPr>
          <w:p>
            <w:pPr>
              <w:spacing w:before="20" w:after="20"/>
            </w:pPr>
            <w:r>
              <w:t xml:space="preserve">Arquitectura, Open Finance, KYC, rendimiento y seguridad</w:t>
            </w:r>
          </w:p>
        </w:tc>
      </w:tr>
      <w:tr>
        <w:tc>
          <w:tcPr>
            <w:tcW w:w="0" w:type="auto"/>
          </w:tcPr>
          <w:p>
            <w:pPr>
              <w:spacing w:before="20" w:after="20"/>
            </w:pPr>
            <w:r>
              <w:t xml:space="preserve">Angie Natalia Arandio Niño</w:t>
            </w:r>
          </w:p>
        </w:tc>
        <w:tc>
          <w:tcPr>
            <w:tcW w:w="0" w:type="auto"/>
          </w:tcPr>
          <w:p>
            <w:pPr>
              <w:spacing w:before="20" w:after="20"/>
            </w:pPr>
            <w:r>
              <w:t xml:space="preserve">Dominio, web back, móvil y pruebas unitarias</w:t>
            </w:r>
          </w:p>
        </w:tc>
      </w:tr>
    </w:tbl>
    <w:p>
      <w:r>
        <w:t/>
      </w:r>
    </w:p>
    <w:p>
      <w:pPr>
        <w:jc w:val="center"/>
        <w:spacing w:before="300" w:after="80"/>
      </w:pPr>
      <w:r>
        <w:rPr>
          <w:i/>
          <w:sz w:val="20"/>
          <w:color w:val="666666"/>
        </w:rPr>
        <w:t xml:space="preserve">Bogotá D.C. · 30 de agosto de 2026</w:t>
      </w:r>
    </w:p>
    <w:p>
      <w:r>
        <w:br w:type="page"/>
      </w:r>
    </w:p>
    <w:p>
      <w:pPr>
        <w:pStyle w:val="Heading2"/>
      </w:pPr>
      <w:r>
        <w:t xml:space="preserve">1. Qué contiene esta entrega</w:t>
      </w:r>
    </w:p>
    <w:p>
      <w:r>
        <w:t xml:space="preserve">Esta entrega tiene dos partes. La primera es el entregable propio de la semana 4. La segunda es la corrección del documento de historias de usuario de la semana 3, que obtuvo 10 de 40 puntos.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w:t>
            </w:r>
          </w:p>
        </w:tc>
        <w:tc>
          <w:tcPr>
            <w:tcW w:w="0" w:type="auto"/>
            <w:shd w:val="clear" w:fill="EDF2F7"/>
          </w:tcPr>
          <w:p>
            <w:pPr>
              <w:spacing w:before="20" w:after="20"/>
            </w:pPr>
            <w:r>
              <w:rPr>
                <w:b/>
              </w:rPr>
              <w:t xml:space="preserve">Entregable</w:t>
            </w:r>
          </w:p>
        </w:tc>
        <w:tc>
          <w:tcPr>
            <w:tcW w:w="0" w:type="auto"/>
            <w:shd w:val="clear" w:fill="EDF2F7"/>
          </w:tcPr>
          <w:p>
            <w:pPr>
              <w:spacing w:before="20" w:after="20"/>
            </w:pPr>
            <w:r>
              <w:rPr>
                <w:b/>
              </w:rPr>
              <w:t xml:space="preserve">Documento</w:t>
            </w:r>
          </w:p>
        </w:tc>
        <w:tc>
          <w:tcPr>
            <w:tcW w:w="0" w:type="auto"/>
            <w:shd w:val="clear" w:fill="EDF2F7"/>
          </w:tcPr>
          <w:p>
            <w:pPr>
              <w:spacing w:before="20" w:after="20"/>
            </w:pPr>
            <w:r>
              <w:rPr>
                <w:b/>
              </w:rPr>
              <w:t xml:space="preserve">Rúbrica</w:t>
            </w:r>
          </w:p>
        </w:tc>
      </w:tr>
      <w:tr>
        <w:tc>
          <w:tcPr>
            <w:tcW w:w="0" w:type="auto"/>
          </w:tcPr>
          <w:p>
            <w:pPr>
              <w:spacing w:before="20" w:after="20"/>
            </w:pPr>
            <w:r>
              <w:t xml:space="preserve">1</w:t>
            </w:r>
          </w:p>
        </w:tc>
        <w:tc>
          <w:tcPr>
            <w:tcW w:w="0" w:type="auto"/>
          </w:tcPr>
          <w:p>
            <w:pPr>
              <w:spacing w:before="20" w:after="20"/>
            </w:pPr>
            <w:r>
              <w:t xml:space="preserve">Hoja de trabajo: modelos de arquitectura, patrones detallados y experimentos</w:t>
            </w:r>
          </w:p>
        </w:tc>
        <w:tc>
          <w:tcPr>
            <w:tcW w:w="0" w:type="auto"/>
          </w:tcPr>
          <w:p>
            <w:pPr>
              <w:spacing w:before="20" w:after="20"/>
            </w:pPr>
            <w:r>
              <w:rPr>
                <w:rFonts w:ascii="Consolas" w:hAnsi="Consolas"/>
                <w:sz w:val="18"/>
                <w:color w:val="B03A2E"/>
              </w:rPr>
              <w:t xml:space="preserve">hoja_trabajo_semana4.docx</w:t>
            </w:r>
          </w:p>
        </w:tc>
        <w:tc>
          <w:tcPr>
            <w:tcW w:w="0" w:type="auto"/>
          </w:tcPr>
          <w:p>
            <w:pPr>
              <w:spacing w:before="20" w:after="20"/>
            </w:pPr>
            <w:r>
              <w:t xml:space="preserve">70 pts</w:t>
            </w:r>
          </w:p>
        </w:tc>
      </w:tr>
      <w:tr>
        <w:tc>
          <w:tcPr>
            <w:tcW w:w="0" w:type="auto"/>
          </w:tcPr>
          <w:p>
            <w:pPr>
              <w:spacing w:before="20" w:after="20"/>
            </w:pPr>
            <w:r>
              <w:t xml:space="preserve">2</w:t>
            </w:r>
          </w:p>
        </w:tc>
        <w:tc>
          <w:tcPr>
            <w:tcW w:w="0" w:type="auto"/>
          </w:tcPr>
          <w:p>
            <w:pPr>
              <w:spacing w:before="20" w:after="20"/>
            </w:pPr>
            <w:r>
              <w:t xml:space="preserve">Refinamiento de la estrategia de pruebas</w:t>
            </w:r>
          </w:p>
        </w:tc>
        <w:tc>
          <w:tcPr>
            <w:tcW w:w="0" w:type="auto"/>
          </w:tcPr>
          <w:p>
            <w:pPr>
              <w:spacing w:before="20" w:after="20"/>
            </w:pPr>
            <w:r>
              <w:rPr>
                <w:rFonts w:ascii="Consolas" w:hAnsi="Consolas"/>
                <w:sz w:val="18"/>
                <w:color w:val="B03A2E"/>
              </w:rPr>
              <w:t xml:space="preserve">hoja_trabajo_semana4.docx</w:t>
            </w:r>
            <w:r>
              <w:t xml:space="preserve"> · §6</w:t>
            </w:r>
          </w:p>
        </w:tc>
        <w:tc>
          <w:tcPr>
            <w:tcW w:w="0" w:type="auto"/>
          </w:tcPr>
          <w:p>
            <w:pPr>
              <w:spacing w:before="20" w:after="20"/>
            </w:pPr>
            <w:r>
              <w:t xml:space="preserve">10 pts</w:t>
            </w:r>
          </w:p>
        </w:tc>
      </w:tr>
      <w:tr>
        <w:tc>
          <w:tcPr>
            <w:tcW w:w="0" w:type="auto"/>
          </w:tcPr>
          <w:p>
            <w:pPr>
              <w:spacing w:before="20" w:after="20"/>
            </w:pPr>
            <w:r>
              <w:t xml:space="preserve">3</w:t>
            </w:r>
          </w:p>
        </w:tc>
        <w:tc>
          <w:tcPr>
            <w:tcW w:w="0" w:type="auto"/>
          </w:tcPr>
          <w:p>
            <w:pPr>
              <w:spacing w:before="20" w:after="20"/>
            </w:pPr>
            <w:r>
              <w:t xml:space="preserve">Plan de trabajo y tablero</w:t>
            </w:r>
          </w:p>
        </w:tc>
        <w:tc>
          <w:tcPr>
            <w:tcW w:w="0" w:type="auto"/>
          </w:tcPr>
          <w:p>
            <w:pPr>
              <w:spacing w:before="20" w:after="20"/>
            </w:pPr>
            <w:r>
              <w:rPr>
                <w:rFonts w:ascii="Consolas" w:hAnsi="Consolas"/>
                <w:sz w:val="18"/>
                <w:color w:val="B03A2E"/>
              </w:rPr>
              <w:t xml:space="preserve">hoja_trabajo_semana4.docx</w:t>
            </w:r>
            <w:r>
              <w:t xml:space="preserve"> · §7 + tablero Jira</w:t>
            </w:r>
          </w:p>
        </w:tc>
        <w:tc>
          <w:tcPr>
            <w:tcW w:w="0" w:type="auto"/>
          </w:tcPr>
          <w:p>
            <w:pPr>
              <w:spacing w:before="20" w:after="20"/>
            </w:pPr>
            <w:r>
              <w:t xml:space="preserve">10 pts</w:t>
            </w:r>
          </w:p>
        </w:tc>
      </w:tr>
      <w:tr>
        <w:tc>
          <w:tcPr>
            <w:tcW w:w="0" w:type="auto"/>
          </w:tcPr>
          <w:p>
            <w:pPr>
              <w:spacing w:before="20" w:after="20"/>
            </w:pPr>
            <w:r>
              <w:t xml:space="preserve">4</w:t>
            </w:r>
          </w:p>
        </w:tc>
        <w:tc>
          <w:tcPr>
            <w:tcW w:w="0" w:type="auto"/>
          </w:tcPr>
          <w:p>
            <w:pPr>
              <w:spacing w:before="20" w:after="20"/>
            </w:pPr>
            <w:r>
              <w:t xml:space="preserve">Video con evidencias</w:t>
            </w:r>
          </w:p>
        </w:tc>
        <w:tc>
          <w:tcPr>
            <w:tcW w:w="0" w:type="auto"/>
          </w:tcPr>
          <w:p>
            <w:pPr>
              <w:spacing w:before="20" w:after="20"/>
            </w:pPr>
            <w:r>
              <w:t xml:space="preserve">Enlace en §4 de este documento</w:t>
            </w:r>
          </w:p>
        </w:tc>
        <w:tc>
          <w:tcPr>
            <w:tcW w:w="0" w:type="auto"/>
          </w:tcPr>
          <w:p>
            <w:pPr>
              <w:spacing w:before="20" w:after="20"/>
            </w:pPr>
            <w:r>
              <w:t xml:space="preserve">10 pts</w:t>
            </w:r>
          </w:p>
        </w:tc>
      </w:tr>
      <w:tr>
        <w:tc>
          <w:tcPr>
            <w:tcW w:w="0" w:type="auto"/>
          </w:tcPr>
          <w:p>
            <w:pPr>
              <w:spacing w:before="20" w:after="20"/>
            </w:pPr>
            <w:r>
              <w:t xml:space="preserve">—</w:t>
            </w:r>
          </w:p>
        </w:tc>
        <w:tc>
          <w:tcPr>
            <w:tcW w:w="0" w:type="auto"/>
          </w:tcPr>
          <w:p>
            <w:pPr>
              <w:spacing w:before="20" w:after="20"/>
            </w:pPr>
            <w:r>
              <w:rPr>
                <w:b/>
              </w:rPr>
              <w:t xml:space="preserve">Corrección semana 3:</w:t>
            </w:r>
            <w:r>
              <w:t xml:space="preserve"> historias de usuario y capacidad del equipo</w:t>
            </w:r>
          </w:p>
        </w:tc>
        <w:tc>
          <w:tcPr>
            <w:tcW w:w="0" w:type="auto"/>
          </w:tcPr>
          <w:p>
            <w:pPr>
              <w:spacing w:before="20" w:after="20"/>
            </w:pPr>
            <w:r>
              <w:rPr>
                <w:rFonts w:ascii="Consolas" w:hAnsi="Consolas"/>
                <w:sz w:val="18"/>
                <w:color w:val="B03A2E"/>
              </w:rPr>
              <w:t xml:space="preserve">historias_de_usuario_v2.docx</w:t>
            </w:r>
          </w:p>
        </w:tc>
        <w:tc>
          <w:tcPr>
            <w:tcW w:w="0" w:type="auto"/>
          </w:tcPr>
          <w:p>
            <w:pPr>
              <w:spacing w:before="20" w:after="20"/>
            </w:pPr>
            <w:r>
              <w:rPr>
                <w:i/>
              </w:rPr>
              <w:t xml:space="preserve">Reentrega</w:t>
            </w:r>
          </w:p>
        </w:tc>
      </w:tr>
    </w:tbl>
    <w:p>
      <w:r>
        <w:t/>
      </w:r>
    </w:p>
    <w:p>
      <w:pPr>
        <w:pBdr>
          <w:bottom w:val="single" w:sz="6" w:space="1" w:color="D0D0D0"/>
        </w:pBdr>
      </w:pPr>
    </w:p>
    <w:p>
      <w:pPr>
        <w:pStyle w:val="Heading2"/>
      </w:pPr>
      <w:r>
        <w:t xml:space="preserve">2. Documentos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w:t>
            </w:r>
          </w:p>
        </w:tc>
        <w:tc>
          <w:tcPr>
            <w:tcW w:w="0" w:type="auto"/>
            <w:shd w:val="clear" w:fill="EDF2F7"/>
          </w:tcPr>
          <w:p>
            <w:pPr>
              <w:spacing w:before="20" w:after="20"/>
            </w:pPr>
            <w:r>
              <w:rPr>
                <w:b/>
              </w:rPr>
              <w:t xml:space="preserve">Documento</w:t>
            </w:r>
          </w:p>
        </w:tc>
        <w:tc>
          <w:tcPr>
            <w:tcW w:w="0" w:type="auto"/>
            <w:shd w:val="clear" w:fill="EDF2F7"/>
          </w:tcPr>
          <w:p>
            <w:pPr>
              <w:spacing w:before="20" w:after="20"/>
            </w:pPr>
            <w:r>
              <w:rPr>
                <w:b/>
              </w:rPr>
              <w:t xml:space="preserve">Contenido</w:t>
            </w:r>
          </w:p>
        </w:tc>
        <w:tc>
          <w:tcPr>
            <w:tcW w:w="0" w:type="auto"/>
            <w:shd w:val="clear" w:fill="EDF2F7"/>
          </w:tcPr>
          <w:p>
            <w:pPr>
              <w:spacing w:before="20" w:after="20"/>
            </w:pPr>
            <w:r>
              <w:rPr>
                <w:b/>
              </w:rPr>
              <w:t xml:space="preserve">Enlace</w:t>
            </w:r>
          </w:p>
        </w:tc>
      </w:tr>
      <w:tr>
        <w:tc>
          <w:tcPr>
            <w:tcW w:w="0" w:type="auto"/>
          </w:tcPr>
          <w:p>
            <w:pPr>
              <w:spacing w:before="20" w:after="20"/>
            </w:pPr>
            <w:r>
              <w:t xml:space="preserve">1</w:t>
            </w:r>
          </w:p>
        </w:tc>
        <w:tc>
          <w:tcPr>
            <w:tcW w:w="0" w:type="auto"/>
          </w:tcPr>
          <w:p>
            <w:pPr>
              <w:spacing w:before="20" w:after="20"/>
            </w:pPr>
            <w:r>
              <w:t xml:space="preserve">hoja_trabajo_semana4.docx</w:t>
            </w:r>
          </w:p>
        </w:tc>
        <w:tc>
          <w:tcPr>
            <w:tcW w:w="0" w:type="auto"/>
          </w:tcPr>
          <w:p>
            <w:pPr>
              <w:spacing w:before="20" w:after="20"/>
            </w:pPr>
            <w:r>
              <w:t xml:space="preserve">Vista funcional, de despliegue y de información · 12 patrones con su razonamiento frente a cada ASR · 8 decisiones de arquitectura con alternativas descartadas · 8 experimentos que cubren los 9 ASR, cada uno con punto de sensibilidad, nivel de incertidumbre justificado, patrones y tácticas, componentes, conectores, criterio de refutación y ficha de tecnología · refinamiento de la estrategia de pruebas · plan por sprint</w:t>
            </w:r>
          </w:p>
        </w:tc>
        <w:tc>
          <w:tcPr>
            <w:tcW w:w="0" w:type="auto"/>
          </w:tcPr>
          <w:p>
            <w:pPr>
              <w:spacing w:before="20" w:after="20"/>
            </w:pPr>
            <w:r>
              <w:rPr>
                <w:i/>
              </w:rPr>
              <w:t xml:space="preserve">(pegar enlace)</w:t>
            </w:r>
          </w:p>
        </w:tc>
      </w:tr>
      <w:tr>
        <w:tc>
          <w:tcPr>
            <w:tcW w:w="0" w:type="auto"/>
          </w:tcPr>
          <w:p>
            <w:pPr>
              <w:spacing w:before="20" w:after="20"/>
            </w:pPr>
            <w:r>
              <w:t xml:space="preserve">2</w:t>
            </w:r>
          </w:p>
        </w:tc>
        <w:tc>
          <w:tcPr>
            <w:tcW w:w="0" w:type="auto"/>
          </w:tcPr>
          <w:p>
            <w:pPr>
              <w:spacing w:before="20" w:after="20"/>
            </w:pPr>
            <w:r>
              <w:t xml:space="preserve">historias_de_usuario_v2.docx</w:t>
            </w:r>
          </w:p>
        </w:tc>
        <w:tc>
          <w:tcPr>
            <w:tcW w:w="0" w:type="auto"/>
          </w:tcPr>
          <w:p>
            <w:pPr>
              <w:spacing w:before="20" w:after="20"/>
            </w:pPr>
            <w:r>
              <w:t xml:space="preserve">Backlog completo de 62 historias con criterios de aceptación · cálculo de capacidad del equipo paso a paso · priorización y corte de alcance entre Proyecto Final 1 y 2 · trazabilidad entre ASR e historias</w:t>
            </w:r>
          </w:p>
        </w:tc>
        <w:tc>
          <w:tcPr>
            <w:tcW w:w="0" w:type="auto"/>
          </w:tcPr>
          <w:p>
            <w:pPr>
              <w:spacing w:before="20" w:after="20"/>
            </w:pPr>
            <w:r>
              <w:rPr>
                <w:i/>
              </w:rPr>
              <w:t xml:space="preserve">(pegar enlace)</w:t>
            </w:r>
          </w:p>
        </w:tc>
      </w:tr>
    </w:tbl>
    <w:p>
      <w:r>
        <w:t/>
      </w:r>
    </w:p>
    <w:p>
      <w:r>
        <w:t xml:space="preserve">Ambos documentos están además versionados en el repositorio, en </w:t>
      </w:r>
      <w:r>
        <w:rPr>
          <w:rFonts w:ascii="Consolas" w:hAnsi="Consolas"/>
          <w:sz w:val="18"/>
          <w:color w:val="B03A2E"/>
        </w:rPr>
        <w:t xml:space="preserve">documentos/semana-4/</w:t>
      </w:r>
      <w:r>
        <w:t xml:space="preserve">, junto con las fuentes de los diagramas en formato </w:t>
      </w:r>
      <w:r>
        <w:rPr>
          <w:rFonts w:ascii="Consolas" w:hAnsi="Consolas"/>
          <w:sz w:val="18"/>
          <w:color w:val="B03A2E"/>
        </w:rPr>
        <w:t xml:space="preserve">.dot</w:t>
      </w:r>
      <w:r>
        <w:t xml:space="preserve">, que se regeneran con un solo comando.</w:t>
      </w:r>
    </w:p>
    <w:p>
      <w:pPr>
        <w:pBdr>
          <w:bottom w:val="single" w:sz="6" w:space="1" w:color="D0D0D0"/>
        </w:pBdr>
      </w:pPr>
    </w:p>
    <w:p>
      <w:pPr>
        <w:pStyle w:val="Heading2"/>
      </w:pPr>
      <w:r>
        <w:t xml:space="preserve">3. Tableros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Tablero</w:t>
            </w:r>
          </w:p>
        </w:tc>
        <w:tc>
          <w:tcPr>
            <w:tcW w:w="0" w:type="auto"/>
            <w:shd w:val="clear" w:fill="EDF2F7"/>
          </w:tcPr>
          <w:p>
            <w:pPr>
              <w:spacing w:before="20" w:after="20"/>
            </w:pPr>
            <w:r>
              <w:rPr>
                <w:b/>
              </w:rPr>
              <w:t xml:space="preserve">Qué muestra</w:t>
            </w:r>
          </w:p>
        </w:tc>
        <w:tc>
          <w:tcPr>
            <w:tcW w:w="0" w:type="auto"/>
            <w:shd w:val="clear" w:fill="EDF2F7"/>
          </w:tcPr>
          <w:p>
            <w:pPr>
              <w:spacing w:before="20" w:after="20"/>
            </w:pPr>
            <w:r>
              <w:rPr>
                <w:b/>
              </w:rPr>
              <w:t xml:space="preserve">Enlace</w:t>
            </w:r>
          </w:p>
        </w:tc>
      </w:tr>
      <w:tr>
        <w:tc>
          <w:tcPr>
            <w:tcW w:w="0" w:type="auto"/>
          </w:tcPr>
          <w:p>
            <w:pPr>
              <w:spacing w:before="20" w:after="20"/>
            </w:pPr>
            <w:r>
              <w:t xml:space="preserve">Jira — Tablero</w:t>
            </w:r>
          </w:p>
        </w:tc>
        <w:tc>
          <w:tcPr>
            <w:tcW w:w="0" w:type="auto"/>
          </w:tcPr>
          <w:p>
            <w:pPr>
              <w:spacing w:before="20" w:after="20"/>
            </w:pPr>
            <w:r>
              <w:t xml:space="preserve">Épicas, funciones e historias con estimación, prioridad y etiquetas de alcance</w:t>
            </w:r>
          </w:p>
        </w:tc>
        <w:tc>
          <w:tcPr>
            <w:tcW w:w="0" w:type="auto"/>
          </w:tcPr>
          <w:p>
            <w:pPr>
              <w:spacing w:before="20" w:after="20"/>
            </w:pPr>
            <w:r>
              <w:t xml:space="preserve">https://proyectointegradorgrupo2.atlassian.net/jira/software/projects/SOL/boards</w:t>
            </w:r>
          </w:p>
        </w:tc>
      </w:tr>
      <w:tr>
        <w:tc>
          <w:tcPr>
            <w:tcW w:w="0" w:type="auto"/>
          </w:tcPr>
          <w:p>
            <w:pPr>
              <w:spacing w:before="20" w:after="20"/>
            </w:pPr>
            <w:r>
              <w:t xml:space="preserve">Jira — Backlog</w:t>
            </w:r>
          </w:p>
        </w:tc>
        <w:tc>
          <w:tcPr>
            <w:tcW w:w="0" w:type="auto"/>
          </w:tcPr>
          <w:p>
            <w:pPr>
              <w:spacing w:before="20" w:after="20"/>
            </w:pPr>
            <w:r>
              <w:t xml:space="preserve">Backlog descompuesto de 62 historias, ordenado por prioridad</w:t>
            </w:r>
          </w:p>
        </w:tc>
        <w:tc>
          <w:tcPr>
            <w:tcW w:w="0" w:type="auto"/>
          </w:tcPr>
          <w:p>
            <w:pPr>
              <w:spacing w:before="20" w:after="20"/>
            </w:pPr>
            <w:r>
              <w:t xml:space="preserve">https://proyectointegradorgrupo2.atlassian.net/jira/software/projects/SOL/backlog</w:t>
            </w:r>
          </w:p>
        </w:tc>
      </w:tr>
      <w:tr>
        <w:tc>
          <w:tcPr>
            <w:tcW w:w="0" w:type="auto"/>
          </w:tcPr>
          <w:p>
            <w:pPr>
              <w:spacing w:before="20" w:after="20"/>
            </w:pPr>
            <w:r>
              <w:t xml:space="preserve">Repositorio</w:t>
            </w:r>
          </w:p>
        </w:tc>
        <w:tc>
          <w:tcPr>
            <w:tcW w:w="0" w:type="auto"/>
          </w:tcPr>
          <w:p>
            <w:pPr>
              <w:spacing w:before="20" w:after="20"/>
            </w:pPr>
            <w:r>
              <w:t xml:space="preserve">Documentos, diagramas y registro de cambios de la entrega</w:t>
            </w:r>
          </w:p>
        </w:tc>
        <w:tc>
          <w:tcPr>
            <w:tcW w:w="0" w:type="auto"/>
          </w:tcPr>
          <w:p>
            <w:pPr>
              <w:spacing w:before="20" w:after="20"/>
            </w:pPr>
            <w:r>
              <w:t xml:space="preserve">https://github.com/Migue765/proyecto-final-uniandes</w:t>
            </w:r>
          </w:p>
        </w:tc>
      </w:tr>
    </w:tbl>
    <w:p>
      <w:r>
        <w:t/>
      </w:r>
    </w:p>
    <w:p>
      <w:r>
        <w:rPr>
          <w:b/>
        </w:rPr>
        <w:t xml:space="preserve">Cómo leer el tablero.</w:t>
      </w:r>
      <w:r>
        <w:t xml:space="preserve"> Las historias nuevas llevan etiquetas que permiten filtrarlas: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Etiqueta</w:t>
            </w:r>
          </w:p>
        </w:tc>
        <w:tc>
          <w:tcPr>
            <w:tcW w:w="0" w:type="auto"/>
            <w:shd w:val="clear" w:fill="EDF2F7"/>
          </w:tcPr>
          <w:p>
            <w:pPr>
              <w:spacing w:before="20" w:after="20"/>
            </w:pPr>
            <w:r>
              <w:rPr>
                <w:b/>
              </w:rPr>
              <w:t xml:space="preserve">Significado</w:t>
            </w:r>
          </w:p>
        </w:tc>
      </w:tr>
      <w:tr>
        <w:tc>
          <w:tcPr>
            <w:tcW w:w="0" w:type="auto"/>
          </w:tcPr>
          <w:p>
            <w:pPr>
              <w:spacing w:before="20" w:after="20"/>
            </w:pPr>
            <w:r>
              <w:rPr>
                <w:rFonts w:ascii="Consolas" w:hAnsi="Consolas"/>
                <w:sz w:val="18"/>
                <w:color w:val="B03A2E"/>
              </w:rPr>
              <w:t xml:space="preserve">FE-01</w:t>
            </w:r>
            <w:r>
              <w:t xml:space="preserve"> … </w:t>
            </w:r>
            <w:r>
              <w:rPr>
                <w:rFonts w:ascii="Consolas" w:hAnsi="Consolas"/>
                <w:sz w:val="18"/>
                <w:color w:val="B03A2E"/>
              </w:rPr>
              <w:t xml:space="preserve">FE-10</w:t>
            </w:r>
          </w:p>
        </w:tc>
        <w:tc>
          <w:tcPr>
            <w:tcW w:w="0" w:type="auto"/>
          </w:tcPr>
          <w:p>
            <w:pPr>
              <w:spacing w:before="20" w:after="20"/>
            </w:pPr>
            <w:r>
              <w:t xml:space="preserve">Función a la que pertenece la historia. Función e Historia son tipos del mismo nivel en Jira, así que la relación se expresa con esta etiqueta y no con la jerarquía</w:t>
            </w:r>
          </w:p>
        </w:tc>
      </w:tr>
      <w:tr>
        <w:tc>
          <w:tcPr>
            <w:tcW w:w="0" w:type="auto"/>
          </w:tcPr>
          <w:p>
            <w:pPr>
              <w:spacing w:before="20" w:after="20"/>
            </w:pPr>
            <w:r>
              <w:rPr>
                <w:rFonts w:ascii="Consolas" w:hAnsi="Consolas"/>
                <w:sz w:val="18"/>
                <w:color w:val="B03A2E"/>
              </w:rPr>
              <w:t xml:space="preserve">funcion</w:t>
            </w:r>
          </w:p>
        </w:tc>
        <w:tc>
          <w:tcPr>
            <w:tcW w:w="0" w:type="auto"/>
          </w:tcPr>
          <w:p>
            <w:pPr>
              <w:spacing w:before="20" w:after="20"/>
            </w:pPr>
            <w:r>
              <w:t xml:space="preserve">Marca los diez ítems de tipo Función</w:t>
            </w:r>
          </w:p>
        </w:tc>
      </w:tr>
      <w:tr>
        <w:tc>
          <w:tcPr>
            <w:tcW w:w="0" w:type="auto"/>
          </w:tcPr>
          <w:p>
            <w:pPr>
              <w:spacing w:before="20" w:after="20"/>
            </w:pPr>
            <w:r>
              <w:rPr>
                <w:rFonts w:ascii="Consolas" w:hAnsi="Consolas"/>
                <w:sz w:val="18"/>
                <w:color w:val="B03A2E"/>
              </w:rPr>
              <w:t xml:space="preserve">EXP-01</w:t>
            </w:r>
            <w:r>
              <w:t xml:space="preserve"> … </w:t>
            </w:r>
            <w:r>
              <w:rPr>
                <w:rFonts w:ascii="Consolas" w:hAnsi="Consolas"/>
                <w:sz w:val="18"/>
                <w:color w:val="B03A2E"/>
              </w:rPr>
              <w:t xml:space="preserve">EXP-08</w:t>
            </w:r>
          </w:p>
        </w:tc>
        <w:tc>
          <w:tcPr>
            <w:tcW w:w="0" w:type="auto"/>
          </w:tcPr>
          <w:p>
            <w:pPr>
              <w:spacing w:before="20" w:after="20"/>
            </w:pPr>
            <w:r>
              <w:t xml:space="preserve">Historia de arquitectura que lleva ese experimento</w:t>
            </w:r>
          </w:p>
        </w:tc>
      </w:tr>
      <w:tr>
        <w:tc>
          <w:tcPr>
            <w:tcW w:w="0" w:type="auto"/>
          </w:tcPr>
          <w:p>
            <w:pPr>
              <w:spacing w:before="20" w:after="20"/>
            </w:pPr>
            <w:r>
              <w:rPr>
                <w:rFonts w:ascii="Consolas" w:hAnsi="Consolas"/>
                <w:sz w:val="18"/>
                <w:color w:val="B03A2E"/>
              </w:rPr>
              <w:t xml:space="preserve">canal-web</w:t>
            </w:r>
            <w:r>
              <w:t xml:space="preserve"> · </w:t>
            </w:r>
            <w:r>
              <w:rPr>
                <w:rFonts w:ascii="Consolas" w:hAnsi="Consolas"/>
                <w:sz w:val="18"/>
                <w:color w:val="B03A2E"/>
              </w:rPr>
              <w:t xml:space="preserve">canal-movil</w:t>
            </w:r>
            <w:r>
              <w:t xml:space="preserve"> · </w:t>
            </w:r>
            <w:r>
              <w:rPr>
                <w:rFonts w:ascii="Consolas" w:hAnsi="Consolas"/>
                <w:sz w:val="18"/>
                <w:color w:val="B03A2E"/>
              </w:rPr>
              <w:t xml:space="preserve">canal-api</w:t>
            </w:r>
          </w:p>
        </w:tc>
        <w:tc>
          <w:tcPr>
            <w:tcW w:w="0" w:type="auto"/>
          </w:tcPr>
          <w:p>
            <w:pPr>
              <w:spacing w:before="20" w:after="20"/>
            </w:pPr>
            <w:r>
              <w:t xml:space="preserve">Canal donde se implementa</w:t>
            </w:r>
          </w:p>
        </w:tc>
      </w:tr>
      <w:tr>
        <w:tc>
          <w:tcPr>
            <w:tcW w:w="0" w:type="auto"/>
          </w:tcPr>
          <w:p>
            <w:pPr>
              <w:spacing w:before="20" w:after="20"/>
            </w:pPr>
            <w:r>
              <w:rPr>
                <w:rFonts w:ascii="Consolas" w:hAnsi="Consolas"/>
                <w:sz w:val="18"/>
                <w:color w:val="B03A2E"/>
              </w:rPr>
              <w:t xml:space="preserve">prioridad-alta</w:t>
            </w:r>
            <w:r>
              <w:t xml:space="preserve"> · </w:t>
            </w:r>
            <w:r>
              <w:rPr>
                <w:rFonts w:ascii="Consolas" w:hAnsi="Consolas"/>
                <w:sz w:val="18"/>
                <w:color w:val="B03A2E"/>
              </w:rPr>
              <w:t xml:space="preserve">prioridad-media</w:t>
            </w:r>
            <w:r>
              <w:t xml:space="preserve"> · </w:t>
            </w:r>
            <w:r>
              <w:rPr>
                <w:rFonts w:ascii="Consolas" w:hAnsi="Consolas"/>
                <w:sz w:val="18"/>
                <w:color w:val="B03A2E"/>
              </w:rPr>
              <w:t xml:space="preserve">prioridad-baja</w:t>
            </w:r>
          </w:p>
        </w:tc>
        <w:tc>
          <w:tcPr>
            <w:tcW w:w="0" w:type="auto"/>
          </w:tcPr>
          <w:p>
            <w:pPr>
              <w:spacing w:before="20" w:after="20"/>
            </w:pPr>
            <w:r>
              <w:t xml:space="preserve">Prioridad asignada</w:t>
            </w:r>
          </w:p>
        </w:tc>
      </w:tr>
      <w:tr>
        <w:tc>
          <w:tcPr>
            <w:tcW w:w="0" w:type="auto"/>
          </w:tcPr>
          <w:p>
            <w:pPr>
              <w:spacing w:before="20" w:after="20"/>
            </w:pPr>
            <w:r>
              <w:rPr>
                <w:rFonts w:ascii="Consolas" w:hAnsi="Consolas"/>
                <w:sz w:val="18"/>
                <w:color w:val="B03A2E"/>
              </w:rPr>
              <w:t xml:space="preserve">proyecto-1</w:t>
            </w:r>
            <w:r>
              <w:t xml:space="preserve"> · </w:t>
            </w:r>
            <w:r>
              <w:rPr>
                <w:rFonts w:ascii="Consolas" w:hAnsi="Consolas"/>
                <w:sz w:val="18"/>
                <w:color w:val="B03A2E"/>
              </w:rPr>
              <w:t xml:space="preserve">proyecto-2</w:t>
            </w:r>
          </w:p>
        </w:tc>
        <w:tc>
          <w:tcPr>
            <w:tcW w:w="0" w:type="auto"/>
          </w:tcPr>
          <w:p>
            <w:pPr>
              <w:spacing w:before="20" w:after="20"/>
            </w:pPr>
            <w:r>
              <w:t xml:space="preserve">Si entra en el alcance del Proyecto Final 1 o se difiere al 2</w:t>
            </w:r>
          </w:p>
        </w:tc>
      </w:tr>
    </w:tbl>
    <w:p>
      <w:r>
        <w:t/>
      </w:r>
    </w:p>
    <w:p>
      <w:r>
        <w:t xml:space="preserve">Para ver únicamente el alcance comprometido de este proyecto, filtrar por </w:t>
      </w:r>
      <w:r>
        <w:rPr>
          <w:rFonts w:ascii="Consolas" w:hAnsi="Consolas"/>
          <w:sz w:val="18"/>
          <w:color w:val="B03A2E"/>
        </w:rPr>
        <w:t xml:space="preserve">proyecto-1</w:t>
      </w:r>
      <w:r>
        <w:t xml:space="preserve">.</w:t>
      </w:r>
    </w:p>
    <w:p>
      <w:pPr>
        <w:pBdr>
          <w:bottom w:val="single" w:sz="6" w:space="1" w:color="D0D0D0"/>
        </w:pBdr>
      </w:pPr>
    </w:p>
    <w:p>
      <w:pPr>
        <w:pStyle w:val="Heading2"/>
      </w:pPr>
      <w:r>
        <w:t xml:space="preserve">4. Video de sustentación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Descripción</w:t>
            </w:r>
          </w:p>
        </w:tc>
        <w:tc>
          <w:tcPr>
            <w:tcW w:w="0" w:type="auto"/>
            <w:shd w:val="clear" w:fill="EDF2F7"/>
          </w:tcPr>
          <w:p>
            <w:pPr>
              <w:spacing w:before="20" w:after="20"/>
            </w:pPr>
            <w:r>
              <w:rPr>
                <w:b/>
              </w:rPr>
              <w:t xml:space="preserve">Duración</w:t>
            </w:r>
          </w:p>
        </w:tc>
        <w:tc>
          <w:tcPr>
            <w:tcW w:w="0" w:type="auto"/>
            <w:shd w:val="clear" w:fill="EDF2F7"/>
          </w:tcPr>
          <w:p>
            <w:pPr>
              <w:spacing w:before="20" w:after="20"/>
            </w:pPr>
            <w:r>
              <w:rPr>
                <w:b/>
              </w:rPr>
              <w:t xml:space="preserve">Enlace</w:t>
            </w:r>
          </w:p>
        </w:tc>
      </w:tr>
      <w:tr>
        <w:tc>
          <w:tcPr>
            <w:tcW w:w="0" w:type="auto"/>
          </w:tcPr>
          <w:p>
            <w:pPr>
              <w:spacing w:before="20" w:after="20"/>
            </w:pPr>
            <w:r>
              <w:t xml:space="preserve">Correcciones de la semana 3, modelos de arquitectura, patrones, propuesta de experimentos y tablero</w:t>
            </w:r>
          </w:p>
        </w:tc>
        <w:tc>
          <w:tcPr>
            <w:tcW w:w="0" w:type="auto"/>
          </w:tcPr>
          <w:p>
            <w:pPr>
              <w:spacing w:before="20" w:after="20"/>
            </w:pPr>
            <w:r>
              <w:t xml:space="preserve">8 min</w:t>
            </w:r>
          </w:p>
        </w:tc>
        <w:tc>
          <w:tcPr>
            <w:tcW w:w="0" w:type="auto"/>
          </w:tcPr>
          <w:p>
            <w:pPr>
              <w:spacing w:before="20" w:after="20"/>
            </w:pPr>
            <w:r>
              <w:rPr>
                <w:i/>
              </w:rPr>
              <w:t xml:space="preserve">(pegar enlace)</w:t>
            </w:r>
          </w:p>
        </w:tc>
      </w:tr>
    </w:tbl>
    <w:p>
      <w:r>
        <w:t/>
      </w:r>
    </w:p>
    <w:p>
      <w:r>
        <w:t xml:space="preserve">El guion completo, con el reparto por presentador y la lista de verificación previa a grabar, está en </w:t>
      </w:r>
      <w:r>
        <w:rPr>
          <w:rFonts w:ascii="Consolas" w:hAnsi="Consolas"/>
          <w:sz w:val="18"/>
          <w:color w:val="B03A2E"/>
        </w:rPr>
        <w:t xml:space="preserve">guion_video_semana4.md</w:t>
      </w:r>
      <w:r>
        <w:t xml:space="preserve">.</w:t>
      </w:r>
    </w:p>
    <w:p>
      <w:pPr>
        <w:pBdr>
          <w:bottom w:val="single" w:sz="6" w:space="1" w:color="D0D0D0"/>
        </w:pBdr>
      </w:pPr>
    </w:p>
    <w:p>
      <w:pPr>
        <w:pStyle w:val="Heading2"/>
      </w:pPr>
      <w:r>
        <w:t xml:space="preserve">5. Correcciones aplicadas a la entrega de la semana 3</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Observación recibida</w:t>
            </w:r>
          </w:p>
        </w:tc>
        <w:tc>
          <w:tcPr>
            <w:tcW w:w="0" w:type="auto"/>
            <w:shd w:val="clear" w:fill="EDF2F7"/>
          </w:tcPr>
          <w:p>
            <w:pPr>
              <w:spacing w:before="20" w:after="20"/>
            </w:pPr>
            <w:r>
              <w:rPr>
                <w:b/>
              </w:rPr>
              <w:t xml:space="preserve">Corrección</w:t>
            </w:r>
          </w:p>
        </w:tc>
        <w:tc>
          <w:tcPr>
            <w:tcW w:w="0" w:type="auto"/>
            <w:shd w:val="clear" w:fill="EDF2F7"/>
          </w:tcPr>
          <w:p>
            <w:pPr>
              <w:spacing w:before="20" w:after="20"/>
            </w:pPr>
            <w:r>
              <w:rPr>
                <w:b/>
              </w:rPr>
              <w:t xml:space="preserve">Dónde verificarla</w:t>
            </w:r>
          </w:p>
        </w:tc>
      </w:tr>
      <w:tr>
        <w:tc>
          <w:tcPr>
            <w:tcW w:w="0" w:type="auto"/>
          </w:tcPr>
          <w:p>
            <w:pPr>
              <w:spacing w:before="20" w:after="20"/>
            </w:pPr>
            <w:r>
              <w:rPr>
                <w:i/>
              </w:rPr>
              <w:t xml:space="preserve">"Se esperaba la lista completa de historias de usuario del proyecto, no solo 20"</w:t>
            </w:r>
          </w:p>
        </w:tc>
        <w:tc>
          <w:tcPr>
            <w:tcW w:w="0" w:type="auto"/>
          </w:tcPr>
          <w:p>
            <w:pPr>
              <w:spacing w:before="20" w:after="20"/>
            </w:pPr>
            <w:r>
              <w:t xml:space="preserve">El backlog se descompuso de 20 a 62 historias. La revisión del tablero mostró que ocho de las veinte estaban tipadas en Jira como Función y no como Historia, sin ninguna historia hija: el backlog tenía en realidad 12 historias y 8 funciones sin descomponer. El promedio pasó de 7,6 a 3,7 SP por historia</w:t>
            </w:r>
          </w:p>
        </w:tc>
        <w:tc>
          <w:tcPr>
            <w:tcW w:w="0" w:type="auto"/>
          </w:tcPr>
          <w:p>
            <w:pPr>
              <w:spacing w:before="20" w:after="20"/>
            </w:pPr>
            <w:r>
              <w:rPr>
                <w:rFonts w:ascii="Consolas" w:hAnsi="Consolas"/>
                <w:sz w:val="18"/>
                <w:color w:val="B03A2E"/>
              </w:rPr>
              <w:t xml:space="preserve">historias_de_usuario_v2.docx</w:t>
            </w:r>
            <w:r>
              <w:t xml:space="preserve"> §3 y §4 · tablero Jira</w:t>
            </w:r>
          </w:p>
        </w:tc>
      </w:tr>
      <w:tr>
        <w:tc>
          <w:tcPr>
            <w:tcW w:w="0" w:type="auto"/>
          </w:tcPr>
          <w:p>
            <w:pPr>
              <w:spacing w:before="20" w:after="20"/>
            </w:pPr>
            <w:r>
              <w:rPr>
                <w:i/>
              </w:rPr>
              <w:t xml:space="preserve">"No se encontró la evidencia de cálculo de la capacidad del equipo"</w:t>
            </w:r>
          </w:p>
        </w:tc>
        <w:tc>
          <w:tcPr>
            <w:tcW w:w="0" w:type="auto"/>
          </w:tcPr>
          <w:p>
            <w:pPr>
              <w:spacing w:before="20" w:after="20"/>
            </w:pPr>
            <w:r>
              <w:t xml:space="preserve">El cálculo está ahora dentro del entregable, con la aritmética paso a paso: 4 personas × 12 h = 48 h/semana → 24 SP → factor de carga 80% → 19 SP/semana → 76 SP disponibles para las semanas 5 a 8. En la versión anterior el cálculo existía, pero en un archivo del repositorio que no se entregaba</w:t>
            </w:r>
          </w:p>
        </w:tc>
        <w:tc>
          <w:tcPr>
            <w:tcW w:w="0" w:type="auto"/>
          </w:tcPr>
          <w:p>
            <w:pPr>
              <w:spacing w:before="20" w:after="20"/>
            </w:pPr>
            <w:r>
              <w:rPr>
                <w:rFonts w:ascii="Consolas" w:hAnsi="Consolas"/>
                <w:sz w:val="18"/>
                <w:color w:val="B03A2E"/>
              </w:rPr>
              <w:t xml:space="preserve">historias_de_usuario_v2.docx</w:t>
            </w:r>
            <w:r>
              <w:t xml:space="preserve"> §2</w:t>
            </w:r>
          </w:p>
        </w:tc>
      </w:tr>
      <w:tr>
        <w:tc>
          <w:tcPr>
            <w:tcW w:w="0" w:type="auto"/>
          </w:tcPr>
          <w:p>
            <w:pPr>
              <w:spacing w:before="20" w:after="20"/>
            </w:pPr>
            <w:r>
              <w:rPr>
                <w:i/>
              </w:rPr>
              <w:t xml:space="preserve">"Un backlog de 152 puntos de historia con sólo 20 HUs... le puede generar dolores de cabeza en el proyecto final 2"</w:t>
            </w:r>
          </w:p>
        </w:tc>
        <w:tc>
          <w:tcPr>
            <w:tcW w:w="0" w:type="auto"/>
          </w:tcPr>
          <w:p>
            <w:pPr>
              <w:spacing w:before="20" w:after="20"/>
            </w:pPr>
            <w:r>
              <w:t xml:space="preserve">Se re-estimó de abajo hacia arriba: el backlog subió a 229 SP, reflejando alcance que estaba oculto dentro de historias demasiado gruesas. Frente a una capacidad de 76 SP, se declara explícitamente qué entra en el Proyecto Final 1 y qué se difiere al Proyecto Final 2</w:t>
            </w:r>
          </w:p>
        </w:tc>
        <w:tc>
          <w:tcPr>
            <w:tcW w:w="0" w:type="auto"/>
          </w:tcPr>
          <w:p>
            <w:pPr>
              <w:spacing w:before="20" w:after="20"/>
            </w:pPr>
            <w:r>
              <w:rPr>
                <w:rFonts w:ascii="Consolas" w:hAnsi="Consolas"/>
                <w:sz w:val="18"/>
                <w:color w:val="B03A2E"/>
              </w:rPr>
              <w:t xml:space="preserve">historias_de_usuario_v2.docx</w:t>
            </w:r>
            <w:r>
              <w:t xml:space="preserve"> §5</w:t>
            </w:r>
          </w:p>
        </w:tc>
      </w:tr>
    </w:tbl>
    <w:p>
      <w:r>
        <w:t/>
      </w:r>
    </w:p>
    <w:p>
      <w:r>
        <w:t xml:space="preserve">Se detectaron además dos cosas por cuenta propia al hacer la corrección: la autenticación web era un recorrido crítico sin ninguna historia asociada, y se agregó como épica y función nuevas; y las historias no eran legibles sin abrir Jira, por lo que ahora cada una aparece completa dentro del documento.</w:t>
      </w:r>
    </w:p>
    <w:p>
      <w:pPr>
        <w:pBdr>
          <w:bottom w:val="single" w:sz="6" w:space="1" w:color="D0D0D0"/>
        </w:pBdr>
      </w:pPr>
    </w:p>
    <w:p>
      <w:pPr>
        <w:pStyle w:val="Heading2"/>
      </w:pPr>
      <w:r>
        <w:t xml:space="preserve">6. Pendientes antes de enviar</w:t>
      </w:r>
    </w:p>
    <w:p>
      <w:pPr>
        <w:pStyle w:val="ListBullet"/>
        <w:numPr>
          <w:ilvl w:val="0"/>
          <w:numId w:val="1"/>
        </w:numPr>
      </w:pPr>
      <w:r>
        <w:t xml:space="preserve">[ ] Publicar los dos documentos y pegar sus enlaces en la tabla de §2</w:t>
      </w:r>
    </w:p>
    <w:p>
      <w:pPr>
        <w:pStyle w:val="ListBullet"/>
        <w:numPr>
          <w:ilvl w:val="0"/>
          <w:numId w:val="1"/>
        </w:numPr>
      </w:pPr>
      <w:r>
        <w:t xml:space="preserve">[ ] Grabar el video siguiendo el guion y pegar su enlace en §4</w:t>
      </w:r>
    </w:p>
    <w:p>
      <w:pPr>
        <w:pStyle w:val="ListBullet"/>
        <w:numPr>
          <w:ilvl w:val="0"/>
          <w:numId w:val="1"/>
        </w:numPr>
      </w:pPr>
      <w:r>
        <w:t xml:space="preserve">[ ] Verificar que el tablero de Jira se vea con las 62 historias antes de grabar el bloque del video que lo muestra</w:t>
      </w:r>
    </w:p>
    <w:sectPr>
      <w:pgSz w:w="11906" w:h="16838"/>
      <w:pgMar w:top="1134" w:right="1134" w:bottom="1134" w:left="1134"/>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280"/>
      </w:pPr>
    </w:lvl>
    <w:lvl w:ilvl="1">
      <w:start w:val="1"/>
      <w:numFmt w:val="bullet"/>
      <w:lvlText w:val="o"/>
      <w:lvlJc w:val="left"/>
      <w:pPr>
        <w:ind w:left="720" w:hanging="280"/>
      </w:pPr>
    </w:lvl>
    <w:lvl w:ilvl="2">
      <w:start w:val="1"/>
      <w:numFmt w:val="bullet"/>
      <w:lvlText w:val="▪"/>
      <w:lvlJc w:val="left"/>
      <w:pPr>
        <w:ind w:left="1080" w:hanging="280"/>
      </w:pPr>
    </w:lvl>
  </w:abstractNum>
  <w:abstractNum w:abstractNumId="1">
    <w:lvl w:ilvl="0">
      <w:start w:val="1"/>
      <w:numFmt w:val="decimal"/>
      <w:lvlText w:val="%1."/>
      <w:lvlJc w:val="left"/>
      <w:pPr>
        <w:ind w:left="360" w:hanging="280"/>
      </w:pPr>
    </w:lvl>
    <w:lvl w:ilvl="1">
      <w:start w:val="1"/>
      <w:numFmt w:val="decimal"/>
      <w:lvlText w:val="%2."/>
      <w:lvlJc w:val="left"/>
      <w:pPr>
        <w:ind w:left="720" w:hanging="280"/>
      </w:pPr>
    </w:lvl>
    <w:lvl w:ilvl="2">
      <w:start w:val="1"/>
      <w:numFmt w:val="decimal"/>
      <w:lvlText w:val="%3."/>
      <w:lvlJc w:val="left"/>
      <w:pPr>
        <w:ind w:left="1080" w:hanging="28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1"/>
      </w:rPr>
    </w:rPrDefault>
  </w:docDefaults>
  <w:style w:type="paragraph" w:default="1" w:styleId="Normal">
    <w:name w:val="Normal"/>
    <w:pPr>
      <w:spacing w:after="120" w:line="264" w:lineRule="auto"/>
    </w:pPr>
  </w:style>
  <w:style w:type="paragraph" w:styleId="Heading1">
    <w:name w:val="heading 1"/>
    <w:basedOn w:val="Normal"/>
    <w:pPr>
      <w:keepNext/>
      <w:spacing w:before="240" w:after="120"/>
    </w:pPr>
    <w:rPr>
      <w:b/>
      <w:sz w:val="32"/>
      <w:color w:val="1A3A5C"/>
    </w:rPr>
  </w:style>
  <w:style w:type="paragraph" w:styleId="Heading2">
    <w:name w:val="heading 2"/>
    <w:basedOn w:val="Normal"/>
    <w:pPr>
      <w:keepNext/>
      <w:spacing w:before="240" w:after="100"/>
    </w:pPr>
    <w:rPr>
      <w:b/>
      <w:sz w:val="26"/>
      <w:color w:val="1F5F8B"/>
    </w:rPr>
  </w:style>
  <w:style w:type="paragraph" w:styleId="Heading3">
    <w:name w:val="heading 3"/>
    <w:basedOn w:val="Normal"/>
    <w:pPr>
      <w:keepNext/>
      <w:spacing w:before="200" w:after="80"/>
    </w:pPr>
    <w:rPr>
      <w:b/>
      <w:sz w:val="22"/>
      <w:color w:val="2E6DA4"/>
    </w:rPr>
  </w:style>
  <w:style w:type="paragraph" w:styleId="Heading4">
    <w:name w:val="heading 4"/>
    <w:basedOn w:val="Normal"/>
    <w:pPr>
      <w:keepNext/>
      <w:spacing w:before="160" w:after="60"/>
    </w:pPr>
    <w:rPr>
      <w:b/>
      <w:sz w:val="20"/>
      <w:color w:val="444444"/>
    </w:rPr>
  </w:style>
  <w:style w:type="paragraph" w:styleId="Heading5">
    <w:name w:val="heading 5"/>
    <w:basedOn w:val="Normal"/>
    <w:pPr>
      <w:keepNext/>
      <w:spacing w:before="140" w:after="60"/>
    </w:pPr>
    <w:rPr>
      <w:b/>
      <w:sz w:val="19"/>
      <w:color w:val="555555"/>
    </w:rPr>
  </w:style>
  <w:style w:type="paragraph" w:styleId="ListBullet">
    <w:name w:val="List Bullet"/>
    <w:basedOn w:val="Normal"/>
    <w:pPr>
      <w:spacing w:after="60"/>
      <w:ind w:left="360"/>
    </w:pPr>
  </w:style>
  <w:style w:type="paragraph" w:styleId="Quote">
    <w:name w:val="Quote"/>
    <w:basedOn w:val="Normal"/>
    <w:pPr>
      <w:ind w:left="360"/>
      <w:pBdr>
        <w:left w:val="single" w:sz="18" w:space="8" w:color="9CC3E5"/>
      </w:pBdr>
      <w:spacing w:before="80" w:after="80"/>
    </w:pPr>
    <w:rPr>
      <w:i/>
      <w:color w:val="3A3A3A"/>
    </w:rPr>
  </w:style>
  <w:style w:type="paragraph" w:styleId="Code">
    <w:name w:val="Code"/>
    <w:basedOn w:val="Normal"/>
    <w:pPr>
      <w:spacing w:after="0"/>
      <w:ind w:left="280"/>
      <w:shd w:val="clear" w:fill="F5F5F5"/>
    </w:pPr>
    <w:rPr>
      <w:rFonts w:ascii="Consolas" w:hAnsi="Consolas"/>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