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Hoja de Trabajo</w:t>
      </w:r>
    </w:p>
    <w:p>
      <w:pPr>
        <w:jc w:val="center"/>
        <w:spacing w:before="0" w:after="60"/>
      </w:pPr>
      <w:r>
        <w:rPr>
          <w:sz w:val="30"/>
          <w:color w:val="2E6DA4"/>
        </w:rPr>
        <w:t xml:space="preserve">Modelos de arquitectura, patrones de diseño y propuesta de experimentos</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Contenido de este documento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Sección</w:t>
            </w:r>
          </w:p>
        </w:tc>
        <w:tc>
          <w:tcPr>
            <w:tcW w:w="0" w:type="auto"/>
            <w:shd w:val="clear" w:fill="EDF2F7"/>
          </w:tcPr>
          <w:p>
            <w:pPr>
              <w:spacing w:before="20" w:after="20"/>
            </w:pPr>
            <w:r>
              <w:rPr>
                <w:b/>
              </w:rPr>
              <w:t xml:space="preserve">Contenido</w:t>
            </w:r>
          </w:p>
        </w:tc>
      </w:tr>
      <w:tr>
        <w:tc>
          <w:tcPr>
            <w:tcW w:w="0" w:type="auto"/>
          </w:tcPr>
          <w:p>
            <w:pPr>
              <w:spacing w:before="20" w:after="20"/>
            </w:pPr>
            <w:r>
              <w:t xml:space="preserve">§1</w:t>
            </w:r>
          </w:p>
        </w:tc>
        <w:tc>
          <w:tcPr>
            <w:tcW w:w="0" w:type="auto"/>
          </w:tcPr>
          <w:p>
            <w:pPr>
              <w:spacing w:before="20" w:after="20"/>
            </w:pPr>
            <w:r>
              <w:t xml:space="preserve">Contexto y atributos de calidad que dirigen el diseño</w:t>
            </w:r>
          </w:p>
        </w:tc>
      </w:tr>
      <w:tr>
        <w:tc>
          <w:tcPr>
            <w:tcW w:w="0" w:type="auto"/>
          </w:tcPr>
          <w:p>
            <w:pPr>
              <w:spacing w:before="20" w:after="20"/>
            </w:pPr>
            <w:r>
              <w:t xml:space="preserve">§2</w:t>
            </w:r>
          </w:p>
        </w:tc>
        <w:tc>
          <w:tcPr>
            <w:tcW w:w="0" w:type="auto"/>
          </w:tcPr>
          <w:p>
            <w:pPr>
              <w:spacing w:before="20" w:after="20"/>
            </w:pPr>
            <w:r>
              <w:t xml:space="preserve">Modelos de arquitectura: vista funcional, de despliegue y de información</w:t>
            </w:r>
          </w:p>
        </w:tc>
      </w:tr>
      <w:tr>
        <w:tc>
          <w:tcPr>
            <w:tcW w:w="0" w:type="auto"/>
          </w:tcPr>
          <w:p>
            <w:pPr>
              <w:spacing w:before="20" w:after="20"/>
            </w:pPr>
            <w:r>
              <w:t xml:space="preserve">§3</w:t>
            </w:r>
          </w:p>
        </w:tc>
        <w:tc>
          <w:tcPr>
            <w:tcW w:w="0" w:type="auto"/>
          </w:tcPr>
          <w:p>
            <w:pPr>
              <w:spacing w:before="20" w:after="20"/>
            </w:pPr>
            <w:r>
              <w:t xml:space="preserve">Diseño detallado — patrones aplicados y su razonamiento frente a cada ASR</w:t>
            </w:r>
          </w:p>
        </w:tc>
      </w:tr>
      <w:tr>
        <w:tc>
          <w:tcPr>
            <w:tcW w:w="0" w:type="auto"/>
          </w:tcPr>
          <w:p>
            <w:pPr>
              <w:spacing w:before="20" w:after="20"/>
            </w:pPr>
            <w:r>
              <w:t xml:space="preserve">§4</w:t>
            </w:r>
          </w:p>
        </w:tc>
        <w:tc>
          <w:tcPr>
            <w:tcW w:w="0" w:type="auto"/>
          </w:tcPr>
          <w:p>
            <w:pPr>
              <w:spacing w:before="20" w:after="20"/>
            </w:pPr>
            <w:r>
              <w:t xml:space="preserve">Decisiones de arquitectura y alternativas descartadas</w:t>
            </w:r>
          </w:p>
        </w:tc>
      </w:tr>
      <w:tr>
        <w:tc>
          <w:tcPr>
            <w:tcW w:w="0" w:type="auto"/>
          </w:tcPr>
          <w:p>
            <w:pPr>
              <w:spacing w:before="20" w:after="20"/>
            </w:pPr>
            <w:r>
              <w:t xml:space="preserve">§5</w:t>
            </w:r>
          </w:p>
        </w:tc>
        <w:tc>
          <w:tcPr>
            <w:tcW w:w="0" w:type="auto"/>
          </w:tcPr>
          <w:p>
            <w:pPr>
              <w:spacing w:before="20" w:after="20"/>
            </w:pPr>
            <w:r>
              <w:t xml:space="preserve">Propuesta de experimentos de arquitectura</w:t>
            </w:r>
          </w:p>
        </w:tc>
      </w:tr>
      <w:tr>
        <w:tc>
          <w:tcPr>
            <w:tcW w:w="0" w:type="auto"/>
          </w:tcPr>
          <w:p>
            <w:pPr>
              <w:spacing w:before="20" w:after="20"/>
            </w:pPr>
            <w:r>
              <w:t xml:space="preserve">§6</w:t>
            </w:r>
          </w:p>
        </w:tc>
        <w:tc>
          <w:tcPr>
            <w:tcW w:w="0" w:type="auto"/>
          </w:tcPr>
          <w:p>
            <w:pPr>
              <w:spacing w:before="20" w:after="20"/>
            </w:pPr>
            <w:r>
              <w:t xml:space="preserve">Refinamiento de la estrategia de pruebas</w:t>
            </w:r>
          </w:p>
        </w:tc>
      </w:tr>
      <w:tr>
        <w:tc>
          <w:tcPr>
            <w:tcW w:w="0" w:type="auto"/>
          </w:tcPr>
          <w:p>
            <w:pPr>
              <w:spacing w:before="20" w:after="20"/>
            </w:pPr>
            <w:r>
              <w:t xml:space="preserve">§7</w:t>
            </w:r>
          </w:p>
        </w:tc>
        <w:tc>
          <w:tcPr>
            <w:tcW w:w="0" w:type="auto"/>
          </w:tcPr>
          <w:p>
            <w:pPr>
              <w:spacing w:before="20" w:after="20"/>
            </w:pPr>
            <w:r>
              <w:t xml:space="preserve">Plan de trabajo y estado del tablero</w:t>
            </w:r>
          </w:p>
        </w:tc>
      </w:tr>
    </w:tbl>
    <w:p>
      <w:r>
        <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EXP-04</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EXP-05</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EXP-06</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EXP-07</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EXP-08</w:t>
            </w:r>
          </w:p>
        </w:tc>
      </w:tr>
    </w:tbl>
    <w:p>
      <w:r>
        <w:t/>
      </w:r>
    </w:p>
    <w:p>
      <w:r>
        <w:rPr>
          <w:b/>
        </w:rPr>
        <w:t xml:space="preserve">Por qué ocho experimentos y no nueve.</w:t>
      </w:r>
      <w:r>
        <w:t xml:space="preserve"> ASR-2.1 y ASR-2.2 son dos manifestaciones del mismo punto de sensibilidad de fondo: si la variabilidad del negocio está encapsulada en puntos de extensión o filtrada hacia el núcleo. Se miden de la misma forma —tocar un punto de variación y contar qué archivos cambian— y usan la misma instrumentación. Se agrupan en el EXP-03 con dos escenarios, lo que evita duplicar montaje sin perder cobertura: los nueve ASR quedan cubiertos.</w:t>
      </w:r>
    </w:p>
    <w:p>
      <w:r>
        <w:rPr>
          <w:b/>
        </w:rPr>
        <w:t xml:space="preserve">Por qué se experimenta ASR-4.2 pese a apoyarse en una garantía de plataforma.</w:t>
      </w:r>
      <w:r>
        <w:t xml:space="preserve"> El bloqueo de escritura del almacenamiento de objetos es una capacidad documentada por el proveedor y sobre eso el equipo no tiene incertidumbre. La incertidumbre real está en otro lado: en si </w:t>
      </w:r>
      <w:r>
        <w:rPr>
          <w:b/>
        </w:rPr>
        <w:t xml:space="preserve">la ruta de auditoría propia</w:t>
      </w:r>
      <w:r>
        <w:t xml:space="preserve"> detecta y registra el intento en menos de 1 segundo. Eso sí es una decisión de diseño del equipo y por eso el EXP-08 se enfoca en el tiempo de detección, no en si el bloqueo funciona.</w:t>
      </w:r>
    </w:p>
    <w:p>
      <w:r>
        <w:rPr>
          <w:b/>
        </w:rPr>
        <w:t xml:space="preserve">Sprint 1 de diseño.</w:t>
      </w:r>
      <w:r>
        <w:t xml:space="preserve"> Los cuatro experimentos de incertidumbre alta (EXP-01, EXP-02, EXP-04 y EXP-07) conforman el Sprint 1 y se ejecutan en las semanas 5 y 6, dentro de las 42 horas comprometidas. Los cuatro restantes quedan diseñados y programados, y se ejecutan según disponibilidad y en el Proyecto Final 2, por depender de infraestructura con costo o de incertidumbre menor.</w:t>
      </w:r>
    </w:p>
    <w:p>
      <w:pPr>
        <w:pBdr>
          <w:bottom w:val="single" w:sz="6" w:space="1" w:color="D0D0D0"/>
        </w:pBdr>
      </w:pP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5.5 EXP-03 — Modificabilidad de los puntos de extensión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 modificabilidad mediante Adapter y configuración externalizada</w:t>
            </w:r>
          </w:p>
        </w:tc>
      </w:tr>
      <w:tr>
        <w:tc>
          <w:tcPr>
            <w:tcW w:w="0" w:type="auto"/>
          </w:tcPr>
          <w:p>
            <w:pPr>
              <w:spacing w:before="20" w:after="20"/>
            </w:pPr>
            <w:r>
              <w:rPr>
                <w:b/>
              </w:rPr>
              <w:t xml:space="preserve">Propósito del experimento</w:t>
            </w:r>
          </w:p>
        </w:tc>
        <w:tc>
          <w:tcPr>
            <w:tcW w:w="0" w:type="auto"/>
          </w:tcPr>
          <w:p>
            <w:pPr>
              <w:spacing w:before="20" w:after="20"/>
            </w:pPr>
            <w:r>
              <w:t xml:space="preserve">Medir empíricamente el costo de las dos variaciones que el negocio pedirá con más frecuencia —una pasarela de pagos nueva y un ramo de seguro nuevo— y verificar que ninguna obliga a modificar el núcleo</w:t>
            </w:r>
          </w:p>
        </w:tc>
      </w:tr>
      <w:tr>
        <w:tc>
          <w:tcPr>
            <w:tcW w:w="0" w:type="auto"/>
          </w:tcPr>
          <w:p>
            <w:pPr>
              <w:spacing w:before="20" w:after="20"/>
            </w:pPr>
            <w:r>
              <w:rPr>
                <w:b/>
              </w:rPr>
              <w:t xml:space="preserve">Resultados esperados</w:t>
            </w:r>
          </w:p>
        </w:tc>
        <w:tc>
          <w:tcPr>
            <w:tcW w:w="0" w:type="auto"/>
          </w:tcPr>
          <w:p>
            <w:pPr>
              <w:spacing w:before="20" w:after="20"/>
            </w:pPr>
            <w:r>
              <w:t xml:space="preserve">Escenario A: una pasarela con contrato distinto integrada en menos de 4 horas-hombre y cero archivos del núcleo modificados. Escenario B: un ramo no contemplado disponible en el flujo de cotización y en la API de socios mediante configuración, con cero archivos del motor de rating modificados</w:t>
            </w:r>
          </w:p>
        </w:tc>
      </w:tr>
      <w:tr>
        <w:tc>
          <w:tcPr>
            <w:tcW w:w="0" w:type="auto"/>
          </w:tcPr>
          <w:p>
            <w:pPr>
              <w:spacing w:before="20" w:after="20"/>
            </w:pPr>
            <w:r>
              <w:rPr>
                <w:b/>
              </w:rPr>
              <w:t xml:space="preserve">Recursos requeridos</w:t>
            </w:r>
          </w:p>
        </w:tc>
        <w:tc>
          <w:tcPr>
            <w:tcW w:w="0" w:type="auto"/>
          </w:tcPr>
          <w:p>
            <w:pPr>
              <w:spacing w:before="20" w:after="20"/>
            </w:pPr>
            <w:r>
              <w:t xml:space="preserve">Servicio de Pagos &amp; Recaudo, puerto de pagos, simulador de pasarela, servicio de Cotización &amp; Rating, configuración de ramos, PostgreSQL y repositorio con registro de cambios por archivo</w:t>
            </w:r>
          </w:p>
        </w:tc>
      </w:tr>
      <w:tr>
        <w:tc>
          <w:tcPr>
            <w:tcW w:w="0" w:type="auto"/>
          </w:tcPr>
          <w:p>
            <w:pPr>
              <w:spacing w:before="20" w:after="20"/>
            </w:pPr>
            <w:r>
              <w:rPr>
                <w:b/>
              </w:rPr>
              <w:t xml:space="preserve">Elementos de arquitectura</w:t>
            </w:r>
          </w:p>
        </w:tc>
        <w:tc>
          <w:tcPr>
            <w:tcW w:w="0" w:type="auto"/>
          </w:tcPr>
          <w:p>
            <w:pPr>
              <w:spacing w:before="20" w:after="20"/>
            </w:pPr>
            <w:r>
              <w:t xml:space="preserve">ASR-2.1 y ASR-2.2. Vista funcional: Pagos &amp; Recaudo, Adaptadores externos, Cotización &amp; Rating y módulo de configuración de ramos</w:t>
            </w:r>
          </w:p>
        </w:tc>
      </w:tr>
      <w:tr>
        <w:tc>
          <w:tcPr>
            <w:tcW w:w="0" w:type="auto"/>
          </w:tcPr>
          <w:p>
            <w:pPr>
              <w:spacing w:before="20" w:after="20"/>
            </w:pPr>
            <w:r>
              <w:rPr>
                <w:b/>
              </w:rPr>
              <w:t xml:space="preserve">Esfuerzo estimado</w:t>
            </w:r>
          </w:p>
        </w:tc>
        <w:tc>
          <w:tcPr>
            <w:tcW w:w="0" w:type="auto"/>
          </w:tcPr>
          <w:p>
            <w:pPr>
              <w:spacing w:before="20" w:after="20"/>
            </w:pPr>
            <w:r>
              <w:t xml:space="preserve">10 horas-hombre (6 h escenario A · 4 h escenario B)</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Generalidad de la definición del puerto de pagos · grado de agnosticismo del motor de rating respecto del ramo</w:t>
            </w:r>
          </w:p>
        </w:tc>
      </w:tr>
      <w:tr>
        <w:tc>
          <w:tcPr>
            <w:tcW w:w="0" w:type="auto"/>
          </w:tcPr>
          <w:p>
            <w:pPr>
              <w:spacing w:before="20" w:after="20"/>
            </w:pPr>
            <w:r>
              <w:t xml:space="preserve">Historias de arquitectura asociadas</w:t>
            </w:r>
          </w:p>
        </w:tc>
        <w:tc>
          <w:tcPr>
            <w:tcW w:w="0" w:type="auto"/>
          </w:tcPr>
          <w:p>
            <w:pPr>
              <w:spacing w:before="20" w:after="20"/>
            </w:pPr>
            <w:r>
              <w:t xml:space="preserve">SOL-20 (HU-ARQ-02) · SOL-21 (HU-ARQ-01)</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Ambos mecanismos están diseñados y el equipo los conoce; lo que no se sabe es si la abstracción es lo bastante general. Un resultado adverso obliga a redefinir una interfaz, no a rehacer la estructura, por lo que su incertidumbre es menor que la de los experimentos de rendimiento</w:t>
            </w:r>
          </w:p>
        </w:tc>
      </w:tr>
      <w:tr>
        <w:tc>
          <w:tcPr>
            <w:tcW w:w="0" w:type="auto"/>
          </w:tcPr>
          <w:p>
            <w:pPr>
              <w:spacing w:before="20" w:after="20"/>
            </w:pPr>
            <w:r>
              <w:t xml:space="preserve">Patrones de arquitectura</w:t>
            </w:r>
          </w:p>
        </w:tc>
        <w:tc>
          <w:tcPr>
            <w:tcW w:w="0" w:type="auto"/>
          </w:tcPr>
          <w:p>
            <w:pPr>
              <w:spacing w:before="20" w:after="20"/>
            </w:pPr>
            <w:r>
              <w:rPr>
                <w:b/>
              </w:rPr>
              <w:t xml:space="preserve">Ports &amp; Adapters</w:t>
            </w:r>
            <w:r>
              <w:t xml:space="preserve"> · </w:t>
            </w:r>
            <w:r>
              <w:rPr>
                <w:b/>
              </w:rPr>
              <w:t xml:space="preserve">Strategy con configuración externalizada</w:t>
            </w:r>
          </w:p>
        </w:tc>
      </w:tr>
      <w:tr>
        <w:tc>
          <w:tcPr>
            <w:tcW w:w="0" w:type="auto"/>
          </w:tcPr>
          <w:p>
            <w:pPr>
              <w:spacing w:before="20" w:after="20"/>
            </w:pPr>
            <w:r>
              <w:t xml:space="preserve">Descripción de los patrones</w:t>
            </w:r>
          </w:p>
        </w:tc>
        <w:tc>
          <w:tcPr>
            <w:tcW w:w="0" w:type="auto"/>
          </w:tcPr>
          <w:p>
            <w:pPr>
              <w:spacing w:before="20" w:after="20"/>
            </w:pPr>
            <w:r>
              <w:t xml:space="preserve">El núcleo define un puerto en lenguaje de dominio y desconoce toda implementación concreta; las reglas variables de cada ramo viven en configuración versionada y no en código</w:t>
            </w:r>
          </w:p>
        </w:tc>
      </w:tr>
      <w:tr>
        <w:tc>
          <w:tcPr>
            <w:tcW w:w="0" w:type="auto"/>
          </w:tcPr>
          <w:p>
            <w:pPr>
              <w:spacing w:before="20" w:after="20"/>
            </w:pPr>
            <w:r>
              <w:t xml:space="preserve">Tácticas de arquitectura</w:t>
            </w:r>
          </w:p>
        </w:tc>
        <w:tc>
          <w:tcPr>
            <w:tcW w:w="0" w:type="auto"/>
          </w:tcPr>
          <w:p>
            <w:pPr>
              <w:spacing w:before="20" w:after="20"/>
            </w:pPr>
            <w:r>
              <w:t xml:space="preserve">Encapsular la variabilidad · Restringir las dependencias mediante inversión · Diferir el enlace hasta el tiempo de despliegue</w:t>
            </w:r>
          </w:p>
        </w:tc>
      </w:tr>
      <w:tr>
        <w:tc>
          <w:tcPr>
            <w:tcW w:w="0" w:type="auto"/>
          </w:tcPr>
          <w:p>
            <w:pPr>
              <w:spacing w:before="20" w:after="20"/>
            </w:pPr>
            <w:r>
              <w:t xml:space="preserve">Descripción de las tácticas</w:t>
            </w:r>
          </w:p>
        </w:tc>
        <w:tc>
          <w:tcPr>
            <w:tcW w:w="0" w:type="auto"/>
          </w:tcPr>
          <w:p>
            <w:pPr>
              <w:spacing w:before="20" w:after="20"/>
            </w:pPr>
            <w:r>
              <w:t xml:space="preserve">La flecha de dependencia apunta del adaptador hacia el núcleo, de modo que agregar un proveedor no puede obligar a modificar el núcleo; y la selección concreta se resuelve por configuración</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&amp; Recaudo</w:t>
            </w:r>
          </w:p>
        </w:tc>
        <w:tc>
          <w:tcPr>
            <w:tcW w:w="0" w:type="auto"/>
          </w:tcPr>
          <w:p>
            <w:pPr>
              <w:spacing w:before="20" w:after="20"/>
            </w:pPr>
            <w:r>
              <w:t xml:space="preserve">Ejecuta la lógica de cobro contra el puerto, sin conocer ninguna pasarela concreta</w:t>
            </w:r>
          </w:p>
        </w:tc>
        <w:tc>
          <w:tcPr>
            <w:tcW w:w="0" w:type="auto"/>
          </w:tcPr>
          <w:p>
            <w:pPr>
              <w:spacing w:before="20" w:after="20"/>
            </w:pPr>
            <w:r>
              <w:t xml:space="preserve">Python 3.11 · Flask</w:t>
            </w:r>
          </w:p>
        </w:tc>
      </w:tr>
      <w:tr>
        <w:tc>
          <w:tcPr>
            <w:tcW w:w="0" w:type="auto"/>
          </w:tcPr>
          <w:p>
            <w:pPr>
              <w:spacing w:before="20" w:after="20"/>
            </w:pPr>
            <w:r>
              <w:t xml:space="preserve">Adaptador de pasarela nuevo</w:t>
            </w:r>
          </w:p>
        </w:tc>
        <w:tc>
          <w:tcPr>
            <w:tcW w:w="0" w:type="auto"/>
          </w:tcPr>
          <w:p>
            <w:pPr>
              <w:spacing w:before="20" w:after="20"/>
            </w:pPr>
            <w:r>
              <w:t xml:space="preserve">Traduce entre el contrato de la pasarela y el puerto de dominio. Es el único artefacto que se escribe</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Evalúa el árbol de reglas del ramo sin conocer ramos concretos</w:t>
            </w:r>
          </w:p>
        </w:tc>
        <w:tc>
          <w:tcPr>
            <w:tcW w:w="0" w:type="auto"/>
          </w:tcPr>
          <w:p>
            <w:pPr>
              <w:spacing w:before="20" w:after="20"/>
            </w:pPr>
            <w:r>
              <w:t xml:space="preserve">Python 3.11 · Flask</w:t>
            </w:r>
          </w:p>
        </w:tc>
      </w:tr>
      <w:tr>
        <w:tc>
          <w:tcPr>
            <w:tcW w:w="0" w:type="auto"/>
          </w:tcPr>
          <w:p>
            <w:pPr>
              <w:spacing w:before="20" w:after="20"/>
            </w:pPr>
            <w:r>
              <w:t xml:space="preserve">Módulo de configuración de ramos</w:t>
            </w:r>
          </w:p>
        </w:tc>
        <w:tc>
          <w:tcPr>
            <w:tcW w:w="0" w:type="auto"/>
          </w:tcPr>
          <w:p>
            <w:pPr>
              <w:spacing w:before="20" w:after="20"/>
            </w:pPr>
            <w:r>
              <w:t xml:space="preserve">Carga y valida la definición del ramo contra un esquema antes de activarla</w:t>
            </w:r>
          </w:p>
        </w:tc>
        <w:tc>
          <w:tcPr>
            <w:tcW w:w="0" w:type="auto"/>
          </w:tcPr>
          <w:p>
            <w:pPr>
              <w:spacing w:before="20" w:after="20"/>
            </w:pPr>
            <w:r>
              <w:t xml:space="preserve">Python 3.11 · JSON Schema</w:t>
            </w:r>
          </w:p>
        </w:tc>
      </w:tr>
      <w:tr>
        <w:tc>
          <w:tcPr>
            <w:tcW w:w="0" w:type="auto"/>
          </w:tcPr>
          <w:p>
            <w:pPr>
              <w:spacing w:before="20" w:after="20"/>
            </w:pPr>
            <w:r>
              <w:t xml:space="preserve">Portal de socios</w:t>
            </w:r>
          </w:p>
        </w:tc>
        <w:tc>
          <w:tcPr>
            <w:tcW w:w="0" w:type="auto"/>
          </w:tcPr>
          <w:p>
            <w:pPr>
              <w:spacing w:before="20" w:after="20"/>
            </w:pPr>
            <w:r>
              <w:t xml:space="preserve">Expone el ramo nuevo por la API B2B sin cambios de código</w:t>
            </w:r>
          </w:p>
        </w:tc>
        <w:tc>
          <w:tcPr>
            <w:tcW w:w="0" w:type="auto"/>
          </w:tcPr>
          <w:p>
            <w:pPr>
              <w:spacing w:before="20" w:after="20"/>
            </w:pPr>
            <w:r>
              <w:t xml:space="preserve">Angular 17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 Puerto de dominio</w:t>
            </w:r>
          </w:p>
        </w:tc>
        <w:tc>
          <w:tcPr>
            <w:tcW w:w="0" w:type="auto"/>
          </w:tcPr>
          <w:p>
            <w:pPr>
              <w:spacing w:before="20" w:after="20"/>
            </w:pPr>
            <w:r>
              <w:t xml:space="preserve">Que la interfaz absorba un contrato distinto sin fugas de abstracción</w:t>
            </w:r>
          </w:p>
        </w:tc>
        <w:tc>
          <w:tcPr>
            <w:tcW w:w="0" w:type="auto"/>
          </w:tcPr>
          <w:p>
            <w:pPr>
              <w:spacing w:before="20" w:after="20"/>
            </w:pPr>
            <w:r>
              <w:t xml:space="preserve">Interfaz Python (inversión de dependencias)</w:t>
            </w:r>
          </w:p>
        </w:tc>
      </w:tr>
      <w:tr>
        <w:tc>
          <w:tcPr>
            <w:tcW w:w="0" w:type="auto"/>
          </w:tcPr>
          <w:p>
            <w:pPr>
              <w:spacing w:before="20" w:after="20"/>
            </w:pPr>
            <w:r>
              <w:t xml:space="preserve">Adaptador → Pasarela simulada</w:t>
            </w:r>
          </w:p>
        </w:tc>
        <w:tc>
          <w:tcPr>
            <w:tcW w:w="0" w:type="auto"/>
          </w:tcPr>
          <w:p>
            <w:pPr>
              <w:spacing w:before="20" w:after="20"/>
            </w:pPr>
            <w:r>
              <w:t xml:space="preserve">Que la traducción quede confinada al adaptador</w:t>
            </w:r>
          </w:p>
        </w:tc>
        <w:tc>
          <w:tcPr>
            <w:tcW w:w="0" w:type="auto"/>
          </w:tcPr>
          <w:p>
            <w:pPr>
              <w:spacing w:before="20" w:after="20"/>
            </w:pPr>
            <w:r>
              <w:t xml:space="preserve">REST sobre TLS · httpx</w:t>
            </w:r>
          </w:p>
        </w:tc>
      </w:tr>
      <w:tr>
        <w:tc>
          <w:tcPr>
            <w:tcW w:w="0" w:type="auto"/>
          </w:tcPr>
          <w:p>
            <w:pPr>
              <w:spacing w:before="20" w:after="20"/>
            </w:pPr>
            <w:r>
              <w:t xml:space="preserve">Cotización → Configuración de ramos</w:t>
            </w:r>
          </w:p>
        </w:tc>
        <w:tc>
          <w:tcPr>
            <w:tcW w:w="0" w:type="auto"/>
          </w:tcPr>
          <w:p>
            <w:pPr>
              <w:spacing w:before="20" w:after="20"/>
            </w:pPr>
            <w:r>
              <w:t xml:space="preserve">Que el ramo nuevo se cargue y valide sin reiniciar el motor</w:t>
            </w:r>
          </w:p>
        </w:tc>
        <w:tc>
          <w:tcPr>
            <w:tcW w:w="0" w:type="auto"/>
          </w:tcPr>
          <w:p>
            <w:pPr>
              <w:spacing w:before="20" w:after="20"/>
            </w:pPr>
            <w:r>
              <w:t xml:space="preserve">psycopg · PostgreSQL 15</w:t>
            </w:r>
          </w:p>
        </w:tc>
      </w:tr>
      <w:tr>
        <w:tc>
          <w:tcPr>
            <w:tcW w:w="0" w:type="auto"/>
          </w:tcPr>
          <w:p>
            <w:pPr>
              <w:spacing w:before="20" w:after="20"/>
            </w:pPr>
            <w:r>
              <w:t xml:space="preserve">Portal → API de socios</w:t>
            </w:r>
          </w:p>
        </w:tc>
        <w:tc>
          <w:tcPr>
            <w:tcW w:w="0" w:type="auto"/>
          </w:tcPr>
          <w:p>
            <w:pPr>
              <w:spacing w:before="20" w:after="20"/>
            </w:pPr>
            <w:r>
              <w:t xml:space="preserve">Que el catálogo refleje el ramo nuevo automáticamente</w:t>
            </w:r>
          </w:p>
        </w:tc>
        <w:tc>
          <w:tcPr>
            <w:tcW w:w="0" w:type="auto"/>
          </w:tcPr>
          <w:p>
            <w:pPr>
              <w:spacing w:before="20" w:after="20"/>
            </w:pPr>
            <w:r>
              <w:t xml:space="preserve">REST sobre TLS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Esfuerzo de integración de la pasarela</w:t>
            </w:r>
          </w:p>
        </w:tc>
        <w:tc>
          <w:tcPr>
            <w:tcW w:w="0" w:type="auto"/>
          </w:tcPr>
          <w:p>
            <w:pPr>
              <w:spacing w:before="20" w:after="20"/>
            </w:pPr>
            <w:r>
              <w:t xml:space="preserve">Cronometraje del trabajo</w:t>
            </w:r>
          </w:p>
        </w:tc>
        <w:tc>
          <w:tcPr>
            <w:tcW w:w="0" w:type="auto"/>
          </w:tcPr>
          <w:p>
            <w:pPr>
              <w:spacing w:before="20" w:after="20"/>
            </w:pPr>
            <w:r>
              <w:t xml:space="preserve">&lt; 4 horas-hombre</w:t>
            </w:r>
          </w:p>
        </w:tc>
      </w:tr>
      <w:tr>
        <w:tc>
          <w:tcPr>
            <w:tcW w:w="0" w:type="auto"/>
          </w:tcPr>
          <w:p>
            <w:pPr>
              <w:spacing w:before="20" w:after="20"/>
            </w:pPr>
            <w:r>
              <w:t xml:space="preserve">Archivos del núcleo modificados</w:t>
            </w:r>
          </w:p>
        </w:tc>
        <w:tc>
          <w:tcPr>
            <w:tcW w:w="0" w:type="auto"/>
          </w:tcPr>
          <w:p>
            <w:pPr>
              <w:spacing w:before="20" w:after="20"/>
            </w:pPr>
            <w:r>
              <w:rPr>
                <w:rFonts w:ascii="Consolas" w:hAnsi="Consolas"/>
                <w:sz w:val="18"/>
                <w:color w:val="B03A2E"/>
              </w:rPr>
              <w:t xml:space="preserve">git diff --name-only</w:t>
            </w:r>
            <w:r>
              <w:t xml:space="preserve"> contra la base</w:t>
            </w:r>
          </w:p>
        </w:tc>
        <w:tc>
          <w:tcPr>
            <w:tcW w:w="0" w:type="auto"/>
          </w:tcPr>
          <w:p>
            <w:pPr>
              <w:spacing w:before="20" w:after="20"/>
            </w:pPr>
            <w:r>
              <w:t xml:space="preserve">0 fuera de adaptadores y configuración</w:t>
            </w:r>
          </w:p>
        </w:tc>
      </w:tr>
      <w:tr>
        <w:tc>
          <w:tcPr>
            <w:tcW w:w="0" w:type="auto"/>
          </w:tcPr>
          <w:p>
            <w:pPr>
              <w:spacing w:before="20" w:after="20"/>
            </w:pPr>
            <w:r>
              <w:t xml:space="preserve">Archivos del motor de rating modificados</w:t>
            </w:r>
          </w:p>
        </w:tc>
        <w:tc>
          <w:tcPr>
            <w:tcW w:w="0" w:type="auto"/>
          </w:tcPr>
          <w:p>
            <w:pPr>
              <w:spacing w:before="20" w:after="20"/>
            </w:pPr>
            <w:r>
              <w:rPr>
                <w:rFonts w:ascii="Consolas" w:hAnsi="Consolas"/>
                <w:sz w:val="18"/>
                <w:color w:val="B03A2E"/>
              </w:rPr>
              <w:t xml:space="preserve">git diff --name-only</w:t>
            </w:r>
          </w:p>
        </w:tc>
        <w:tc>
          <w:tcPr>
            <w:tcW w:w="0" w:type="auto"/>
          </w:tcPr>
          <w:p>
            <w:pPr>
              <w:spacing w:before="20" w:after="20"/>
            </w:pPr>
            <w:r>
              <w:t xml:space="preserve">0</w:t>
            </w:r>
          </w:p>
        </w:tc>
      </w:tr>
      <w:tr>
        <w:tc>
          <w:tcPr>
            <w:tcW w:w="0" w:type="auto"/>
          </w:tcPr>
          <w:p>
            <w:pPr>
              <w:spacing w:before="20" w:after="20"/>
            </w:pPr>
            <w:r>
              <w:t xml:space="preserve">Pruebas del núcleo tras el cambio</w:t>
            </w:r>
          </w:p>
        </w:tc>
        <w:tc>
          <w:tcPr>
            <w:tcW w:w="0" w:type="auto"/>
          </w:tcPr>
          <w:p>
            <w:pPr>
              <w:spacing w:before="20" w:after="20"/>
            </w:pPr>
            <w:r>
              <w:t xml:space="preserve">pytest</w:t>
            </w:r>
          </w:p>
        </w:tc>
        <w:tc>
          <w:tcPr>
            <w:tcW w:w="0" w:type="auto"/>
          </w:tcPr>
          <w:p>
            <w:pPr>
              <w:spacing w:before="20" w:after="20"/>
            </w:pPr>
            <w:r>
              <w:t xml:space="preserve">Pasan sin modificación</w:t>
            </w:r>
          </w:p>
        </w:tc>
      </w:tr>
    </w:tbl>
    <w:p>
      <w:r>
        <w:t/>
      </w:r>
    </w:p>
    <w:p>
      <w:r>
        <w:rPr>
          <w:b/>
        </w:rPr>
        <w:t xml:space="preserve">Criterio de refutación.</w:t>
      </w:r>
      <w:r>
        <w:t xml:space="preserve"> Cualquier archivo del núcleo que deba modificarse refuta la hipótesis e identifica exactamente dónde está la fuga de abstracción. La medida no es una opinión: es el conjunto de archivos que reporta el control de versiones.</w:t>
      </w:r>
    </w:p>
    <w:p>
      <w:r>
        <w:rPr>
          <w:b/>
        </w:rPr>
        <w:t xml:space="preserve">Decisión alternativa ante resultado adverso.</w:t>
      </w:r>
      <w:r>
        <w:t xml:space="preserve"> Si el puerto de pagos resulta insuficiente, se redefine en términos de intención de negocio —autorizar, confirmar, reversar— en lugar de operaciones de pasarela. Si el motor de rating exige cambios, se extrae el fragmento dependiente del ramo hacia una estrategia cargada por configuración.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medición se apoya en el control de versiones, que da evidencia objetiva de qué se tocó, y en el cronometraje del trabajo de un integrante que no diseñó el módulo, para evitar el sesgo del autor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Angular 17 (portal)</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 de datos</w:t>
            </w:r>
          </w:p>
        </w:tc>
        <w:tc>
          <w:tcPr>
            <w:tcW w:w="0" w:type="auto"/>
          </w:tcPr>
          <w:p>
            <w:pPr>
              <w:spacing w:before="20" w:after="20"/>
            </w:pPr>
            <w:r>
              <w:t xml:space="preserve">PostgreSQL 15</w:t>
            </w:r>
          </w:p>
        </w:tc>
      </w:tr>
      <w:tr>
        <w:tc>
          <w:tcPr>
            <w:tcW w:w="0" w:type="auto"/>
          </w:tcPr>
          <w:p>
            <w:pPr>
              <w:spacing w:before="20" w:after="20"/>
            </w:pPr>
            <w:r>
              <w:t xml:space="preserve">Librerías</w:t>
            </w:r>
          </w:p>
        </w:tc>
        <w:tc>
          <w:tcPr>
            <w:tcW w:w="0" w:type="auto"/>
          </w:tcPr>
          <w:p>
            <w:pPr>
              <w:spacing w:before="20" w:after="20"/>
            </w:pPr>
            <w:r>
              <w:t xml:space="preserve">httpx · psycopg · jsonschema</w:t>
            </w:r>
          </w:p>
        </w:tc>
      </w:tr>
      <w:tr>
        <w:tc>
          <w:tcPr>
            <w:tcW w:w="0" w:type="auto"/>
          </w:tcPr>
          <w:p>
            <w:pPr>
              <w:spacing w:before="20" w:after="20"/>
            </w:pPr>
            <w:r>
              <w:t xml:space="preserve">Herramientas de análisis</w:t>
            </w:r>
          </w:p>
        </w:tc>
        <w:tc>
          <w:tcPr>
            <w:tcW w:w="0" w:type="auto"/>
          </w:tcPr>
          <w:p>
            <w:pPr>
              <w:spacing w:before="20" w:after="20"/>
            </w:pPr>
            <w:r>
              <w:t xml:space="preserve">Git con registro de cambios por archivo · pytest 8 · Postman/Newman · simulador de pasarela</w:t>
            </w:r>
          </w:p>
        </w:tc>
      </w:tr>
    </w:tbl>
    <w:p>
      <w:r>
        <w:t/>
      </w:r>
    </w:p>
    <w:p>
      <w:pPr>
        <w:pBdr>
          <w:bottom w:val="single" w:sz="6" w:space="1" w:color="D0D0D0"/>
        </w:pBdr>
      </w:pPr>
    </w:p>
    <w:p>
      <w:pPr>
        <w:pStyle w:val="Heading3"/>
      </w:pPr>
      <w:r>
        <w:t xml:space="preserve">5.6 EXP-04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tolerancia a fallos ante caída de Redis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pérdida del caché degrada el rendimiento sin interrumpir el servicio, y que el aislamiento por mamparo confina el efecto a los servicios que dependen del caché</w:t>
            </w:r>
          </w:p>
        </w:tc>
      </w:tr>
      <w:tr>
        <w:tc>
          <w:tcPr>
            <w:tcW w:w="0" w:type="auto"/>
          </w:tcPr>
          <w:p>
            <w:pPr>
              <w:spacing w:before="20" w:after="20"/>
            </w:pPr>
            <w:r>
              <w:rPr>
                <w:b/>
              </w:rPr>
              <w:t xml:space="preserve">Resultados esperados</w:t>
            </w:r>
          </w:p>
        </w:tc>
        <w:tc>
          <w:tcPr>
            <w:tcW w:w="0" w:type="auto"/>
          </w:tcPr>
          <w:p>
            <w:pPr>
              <w:spacing w:before="20" w:after="20"/>
            </w:pPr>
            <w:r>
              <w:t xml:space="preserve">Conmutación a PostgreSQL en menos de 30 s, cero transacciones activas perdidas, disponibilidad ≥ 99,9% en la ventana medida y un servicio testigo sin afectación</w:t>
            </w:r>
          </w:p>
        </w:tc>
      </w:tr>
      <w:tr>
        <w:tc>
          <w:tcPr>
            <w:tcW w:w="0" w:type="auto"/>
          </w:tcPr>
          <w:p>
            <w:pPr>
              <w:spacing w:before="20" w:after="20"/>
            </w:pPr>
            <w:r>
              <w:rPr>
                <w:b/>
              </w:rPr>
              <w:t xml:space="preserve">Recursos requeridos</w:t>
            </w:r>
          </w:p>
        </w:tc>
        <w:tc>
          <w:tcPr>
            <w:tcW w:w="0" w:type="auto"/>
          </w:tcPr>
          <w:p>
            <w:pPr>
              <w:spacing w:before="20" w:after="20"/>
            </w:pPr>
            <w:r>
              <w:t xml:space="preserve">Redis, PostgreSQL, Perfilamiento, Cotización, Pólizas como servicio testigo, </w:t>
            </w:r>
            <w:r>
              <w:rPr>
                <w:rFonts w:ascii="Consolas" w:hAnsi="Consolas"/>
                <w:sz w:val="18"/>
                <w:color w:val="B03A2E"/>
              </w:rPr>
              <w:t xml:space="preserve">docker stop</w:t>
            </w:r>
            <w:r>
              <w:t xml:space="preserve"> o Toxiproxy para inducir la falla, JMeter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ASR-3.1. Vista funcional: Perfilamiento, Cotización, Pólizas, Redis, PostgreSQL</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el depósito de conexiones a PostgreSQL absorba el tráfico que atendía el caché · que la saturación no se propague por el recurso compartido</w:t>
            </w:r>
          </w:p>
        </w:tc>
      </w:tr>
      <w:tr>
        <w:tc>
          <w:tcPr>
            <w:tcW w:w="0" w:type="auto"/>
          </w:tcPr>
          <w:p>
            <w:pPr>
              <w:spacing w:before="20" w:after="20"/>
            </w:pPr>
            <w:r>
              <w:t xml:space="preserve">Historias de arquitectura asociadas</w:t>
            </w:r>
          </w:p>
        </w:tc>
        <w:tc>
          <w:tcPr>
            <w:tcW w:w="0" w:type="auto"/>
          </w:tcPr>
          <w:p>
            <w:pPr>
              <w:spacing w:before="20" w:after="20"/>
            </w:pPr>
            <w:r>
              <w:t xml:space="preserve">SOL-29 (HU-ARQ-06)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Cuando Redis cae, el 100% del tráfico que resolvía por caché pasa a PostgreSQL de golpe. No se sabe si el depósito dimensionado para operación normal soporta ese salto, ni si la saturación queda confinada al perfilamiento o alcanza a los servicios que comparten la base</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r>
              <w:t xml:space="preserve"> · </w:t>
            </w:r>
            <w:r>
              <w:rPr>
                <w:b/>
              </w:rPr>
              <w:t xml:space="preserve">Bulkhead</w:t>
            </w:r>
          </w:p>
        </w:tc>
      </w:tr>
      <w:tr>
        <w:tc>
          <w:tcPr>
            <w:tcW w:w="0" w:type="auto"/>
          </w:tcPr>
          <w:p>
            <w:pPr>
              <w:spacing w:before="20" w:after="20"/>
            </w:pPr>
            <w:r>
              <w:t xml:space="preserve">Descripción de los patrones</w:t>
            </w:r>
          </w:p>
        </w:tc>
        <w:tc>
          <w:tcPr>
            <w:tcW w:w="0" w:type="auto"/>
          </w:tcPr>
          <w:p>
            <w:pPr>
              <w:spacing w:before="20" w:after="20"/>
            </w:pPr>
            <w:r>
              <w:t xml:space="preserve">El interruptor detecta la ausencia del caché, el fallback redirige a la fuente persistente y el mamparo impide que la saturación resultante alcance a otros servicios</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comprobación de vitalidad · Recuperación mediante fuente alternativa · Contención del fallo limitando recursos compartidos</w:t>
            </w:r>
          </w:p>
        </w:tc>
      </w:tr>
      <w:tr>
        <w:tc>
          <w:tcPr>
            <w:tcW w:w="0" w:type="auto"/>
          </w:tcPr>
          <w:p>
            <w:pPr>
              <w:spacing w:before="20" w:after="20"/>
            </w:pPr>
            <w:r>
              <w:t xml:space="preserve">Descripción de las tácticas</w:t>
            </w:r>
          </w:p>
        </w:tc>
        <w:tc>
          <w:tcPr>
            <w:tcW w:w="0" w:type="auto"/>
          </w:tcPr>
          <w:p>
            <w:pPr>
              <w:spacing w:before="20" w:after="20"/>
            </w:pPr>
            <w:r>
              <w:t xml:space="preserve">Cada dependencia tiene su propio depósito de conexiones, de modo que agotar uno no agota los demás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Detecta la ausencia del caché y conmuta a la fuente primaria en menos de 30 s sin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Sirve de testigo de propagación: debe mantener latencia y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&amp; Rating</w:t>
            </w:r>
          </w:p>
        </w:tc>
        <w:tc>
          <w:tcPr>
            <w:tcW w:w="0" w:type="auto"/>
          </w:tcPr>
          <w:p>
            <w:pPr>
              <w:spacing w:before="20" w:after="20"/>
            </w:pPr>
            <w:r>
              <w:t xml:space="preserve">Sostiene el flujo de usuario con degradación acotada y transitoria, sin errores</w:t>
            </w:r>
          </w:p>
        </w:tc>
        <w:tc>
          <w:tcPr>
            <w:tcW w:w="0" w:type="auto"/>
          </w:tcPr>
          <w:p>
            <w:pPr>
              <w:spacing w:before="20" w:after="20"/>
            </w:pPr>
            <w:r>
              <w:t xml:space="preserve">Python 3.11 · Flask</w:t>
            </w:r>
          </w:p>
        </w:tc>
      </w:tr>
      <w:tr>
        <w:tc>
          <w:tcPr>
            <w:tcW w:w="0" w:type="auto"/>
          </w:tcPr>
          <w:p>
            <w:pPr>
              <w:spacing w:before="20" w:after="20"/>
            </w:pPr>
            <w:r>
              <w:t xml:space="preserve">Base de datos</w:t>
            </w:r>
          </w:p>
        </w:tc>
        <w:tc>
          <w:tcPr>
            <w:tcW w:w="0" w:type="auto"/>
          </w:tcPr>
          <w:p>
            <w:pPr>
              <w:spacing w:before="20" w:after="20"/>
            </w:pPr>
            <w:r>
              <w:t xml:space="preserve">Absorbe el tráfico redirigido desde un depósito dedicado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Apache 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Apache JMeter</w:t>
            </w:r>
          </w:p>
        </w:tc>
        <w:tc>
          <w:tcPr>
            <w:tcW w:w="0" w:type="auto"/>
          </w:tcPr>
          <w:p>
            <w:pPr>
              <w:spacing w:before="20" w:after="20"/>
            </w:pPr>
            <w:r>
              <w:t xml:space="preserve">Sin alteración significativa</w:t>
            </w:r>
          </w:p>
        </w:tc>
      </w:tr>
    </w:tbl>
    <w:p>
      <w:r>
        <w:t/>
      </w:r>
    </w:p>
    <w:p>
      <w:r>
        <w:rPr>
          <w:b/>
        </w:rPr>
        <w:t xml:space="preserve">Criterio de refutación.</w:t>
      </w:r>
      <w:r>
        <w:t xml:space="preserve"> Queda refutada si el servicio de Pólizas se degrada: eso demostraría que el aislamiento por mamparo no está operando y que el fallo se propaga por el recurso compartido.</w:t>
      </w:r>
    </w:p>
    <w:p>
      <w:r>
        <w:rPr>
          <w:b/>
        </w:rPr>
        <w:t xml:space="preserve">Decisión alternativa ante resultado adverso.</w:t>
      </w:r>
      <w:r>
        <w:t xml:space="preserve"> Se separa físicamente el acceso a datos: el perfilamiento deja de compartir instancia de base de datos con el resto, convirtiendo el aislamiento lógico en aislamiento de infraestructura.</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inducir una falla real de infraestructura y observar simultáneamente el servicio afectado y uno no relacionado, que es la única forma de comprobar la contención</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pybreaker</w:t>
            </w:r>
          </w:p>
        </w:tc>
      </w:tr>
      <w:tr>
        <w:tc>
          <w:tcPr>
            <w:tcW w:w="0" w:type="auto"/>
          </w:tcPr>
          <w:p>
            <w:pPr>
              <w:spacing w:before="20" w:after="20"/>
            </w:pPr>
            <w:r>
              <w:t xml:space="preserve">Herramientas de análisis</w:t>
            </w:r>
          </w:p>
        </w:tc>
        <w:tc>
          <w:tcPr>
            <w:tcW w:w="0" w:type="auto"/>
          </w:tcPr>
          <w:p>
            <w:pPr>
              <w:spacing w:before="20" w:after="20"/>
            </w:pPr>
            <w:r>
              <w:t xml:space="preserve">Apache JMeter 5.6 · </w:t>
            </w:r>
            <w:r>
              <w:rPr>
                <w:rFonts w:ascii="Consolas" w:hAnsi="Consolas"/>
                <w:sz w:val="18"/>
                <w:color w:val="B03A2E"/>
              </w:rPr>
              <w:t xml:space="preserve">docker stop</w:t>
            </w:r>
            <w:r>
              <w:t xml:space="preserve"> · Toxiproxy · CloudWatch</w:t>
            </w:r>
          </w:p>
        </w:tc>
      </w:tr>
    </w:tbl>
    <w:p>
      <w:r>
        <w:t/>
      </w:r>
    </w:p>
    <w:p>
      <w:pPr>
        <w:pBdr>
          <w:bottom w:val="single" w:sz="6" w:space="1" w:color="D0D0D0"/>
        </w:pBdr>
      </w:pPr>
    </w:p>
    <w:p>
      <w:pPr>
        <w:pStyle w:val="Heading3"/>
      </w:pPr>
      <w:r>
        <w:t xml:space="preserve">5.7 EXP-05 — Pérdida de una zona de disponibilidad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alta disponibilidad ante caída de una zona AWS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el esquema multi-zona opera realmente como activo-activo y que los objetivos de tiempo y punto de recuperación se cumplen ante la pérdida completa de una zona</w:t>
            </w:r>
          </w:p>
        </w:tc>
      </w:tr>
      <w:tr>
        <w:tc>
          <w:tcPr>
            <w:tcW w:w="0" w:type="auto"/>
          </w:tcPr>
          <w:p>
            <w:pPr>
              <w:spacing w:before="20" w:after="20"/>
            </w:pPr>
            <w:r>
              <w:rPr>
                <w:b/>
              </w:rPr>
              <w:t xml:space="preserve">Resultados esperados</w:t>
            </w:r>
          </w:p>
        </w:tc>
        <w:tc>
          <w:tcPr>
            <w:tcW w:w="0" w:type="auto"/>
          </w:tcPr>
          <w:p>
            <w:pPr>
              <w:spacing w:before="20" w:after="20"/>
            </w:pPr>
            <w:r>
              <w:t xml:space="preserve">Tráfico redirigido a la zona superviviente, promoción automática de la réplica de base de datos, continuidad del bus de eventos, RTO ≤ 10 minutos, RPO ≤ 30 s y cero transacciones confirmadas perdidas</w:t>
            </w:r>
          </w:p>
        </w:tc>
      </w:tr>
      <w:tr>
        <w:tc>
          <w:tcPr>
            <w:tcW w:w="0" w:type="auto"/>
          </w:tcPr>
          <w:p>
            <w:pPr>
              <w:spacing w:before="20" w:after="20"/>
            </w:pPr>
            <w:r>
              <w:rPr>
                <w:b/>
              </w:rPr>
              <w:t xml:space="preserve">Recursos requeridos</w:t>
            </w:r>
          </w:p>
        </w:tc>
        <w:tc>
          <w:tcPr>
            <w:tcW w:w="0" w:type="auto"/>
          </w:tcPr>
          <w:p>
            <w:pPr>
              <w:spacing w:before="20" w:after="20"/>
            </w:pPr>
            <w:r>
              <w:t xml:space="preserve">AWS con EKS multi-AZ, RDS PostgreSQL con réplica, Amazon MSK, balanceador de aplicación, AWS Fault Injection Service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ASR-3.2. Vista de despliegue: EKS en dos zonas, RDS multi-AZ, MSK, balanceador</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la configuración sea activo-activo de hecho y no activo-pasivo encubierto · tiempo de promoción de la réplica · continuidad del bus de eventos</w:t>
            </w:r>
          </w:p>
        </w:tc>
      </w:tr>
      <w:tr>
        <w:tc>
          <w:tcPr>
            <w:tcW w:w="0" w:type="auto"/>
          </w:tcPr>
          <w:p>
            <w:pPr>
              <w:spacing w:before="20" w:after="20"/>
            </w:pPr>
            <w:r>
              <w:t xml:space="preserve">Historias de arquitectura asociadas</w:t>
            </w:r>
          </w:p>
        </w:tc>
        <w:tc>
          <w:tcPr>
            <w:tcW w:w="0" w:type="auto"/>
          </w:tcPr>
          <w:p>
            <w:pPr>
              <w:spacing w:before="20" w:after="20"/>
            </w:pPr>
            <w:r>
              <w:t xml:space="preserve">SOL-43 (HU-ARQ-09) · SOL-29 (HU-ARQ-06)</w:t>
            </w:r>
          </w:p>
        </w:tc>
      </w:tr>
      <w:tr>
        <w:tc>
          <w:tcPr>
            <w:tcW w:w="0" w:type="auto"/>
          </w:tcPr>
          <w:p>
            <w:pPr>
              <w:spacing w:before="20" w:after="20"/>
            </w:pPr>
            <w:r>
              <w:t xml:space="preserve">Nivel de incertidumbre</w:t>
            </w:r>
          </w:p>
        </w:tc>
        <w:tc>
          <w:tcPr>
            <w:tcW w:w="0" w:type="auto"/>
          </w:tcPr>
          <w:p>
            <w:pPr>
              <w:spacing w:before="20" w:after="20"/>
            </w:pPr>
            <w:r>
              <w:rPr>
                <w:b/>
              </w:rPr>
              <w:t xml:space="preserve">Media-alta.</w:t>
            </w:r>
            <w:r>
              <w:t xml:space="preserve"> El diseño afirma que la capacidad de la zona superviviente ya está caliente, pero eso solo se comprueba induciendo la falla. Si en la práctica opera como activo-pasivo, el RTO dependerá del arranque en frío y el objetivo de 10 minutos queda en riesgo</w:t>
            </w:r>
          </w:p>
        </w:tc>
      </w:tr>
      <w:tr>
        <w:tc>
          <w:tcPr>
            <w:tcW w:w="0" w:type="auto"/>
          </w:tcPr>
          <w:p>
            <w:pPr>
              <w:spacing w:before="20" w:after="20"/>
            </w:pPr>
            <w:r>
              <w:t xml:space="preserve">Patrones de arquitectura</w:t>
            </w:r>
          </w:p>
        </w:tc>
        <w:tc>
          <w:tcPr>
            <w:tcW w:w="0" w:type="auto"/>
          </w:tcPr>
          <w:p>
            <w:pPr>
              <w:spacing w:before="20" w:after="20"/>
            </w:pPr>
            <w:r>
              <w:rPr>
                <w:b/>
              </w:rPr>
              <w:t xml:space="preserve">Active-Active</w:t>
            </w:r>
            <w:r>
              <w:t xml:space="preserve"> · </w:t>
            </w:r>
            <w:r>
              <w:rPr>
                <w:b/>
              </w:rPr>
              <w:t xml:space="preserve">Replication</w:t>
            </w:r>
            <w:r>
              <w:t xml:space="preserve"> · </w:t>
            </w:r>
            <w:r>
              <w:rPr>
                <w:b/>
              </w:rPr>
              <w:t xml:space="preserve">Automatic Failover</w:t>
            </w:r>
          </w:p>
        </w:tc>
      </w:tr>
      <w:tr>
        <w:tc>
          <w:tcPr>
            <w:tcW w:w="0" w:type="auto"/>
          </w:tcPr>
          <w:p>
            <w:pPr>
              <w:spacing w:before="20" w:after="20"/>
            </w:pPr>
            <w:r>
              <w:t xml:space="preserve">Descripción de los patrones</w:t>
            </w:r>
          </w:p>
        </w:tc>
        <w:tc>
          <w:tcPr>
            <w:tcW w:w="0" w:type="auto"/>
          </w:tcPr>
          <w:p>
            <w:pPr>
              <w:spacing w:before="20" w:after="20"/>
            </w:pPr>
            <w:r>
              <w:t xml:space="preserve">Ambas zonas reciben tráfico simultáneamente y los datos se replican de forma síncrona, de modo que la recuperación dependa de la detección y no del aprovisionamiento</w:t>
            </w:r>
          </w:p>
        </w:tc>
      </w:tr>
      <w:tr>
        <w:tc>
          <w:tcPr>
            <w:tcW w:w="0" w:type="auto"/>
          </w:tcPr>
          <w:p>
            <w:pPr>
              <w:spacing w:before="20" w:after="20"/>
            </w:pPr>
            <w:r>
              <w:t xml:space="preserve">Tácticas de arquitectura</w:t>
            </w:r>
          </w:p>
        </w:tc>
        <w:tc>
          <w:tcPr>
            <w:tcW w:w="0" w:type="auto"/>
          </w:tcPr>
          <w:p>
            <w:pPr>
              <w:spacing w:before="20" w:after="20"/>
            </w:pPr>
            <w:r>
              <w:t xml:space="preserve">Redundancia activa · Replicación síncrona de estado · Detección de fallas mediante comprobación de salud del balanceador</w:t>
            </w:r>
          </w:p>
        </w:tc>
      </w:tr>
      <w:tr>
        <w:tc>
          <w:tcPr>
            <w:tcW w:w="0" w:type="auto"/>
          </w:tcPr>
          <w:p>
            <w:pPr>
              <w:spacing w:before="20" w:after="20"/>
            </w:pPr>
            <w:r>
              <w:t xml:space="preserve">Descripción de las tácticas</w:t>
            </w:r>
          </w:p>
        </w:tc>
        <w:tc>
          <w:tcPr>
            <w:tcW w:w="0" w:type="auto"/>
          </w:tcPr>
          <w:p>
            <w:pPr>
              <w:spacing w:before="20" w:after="20"/>
            </w:pPr>
            <w:r>
              <w:t xml:space="preserve">Mantener capacidad ya caliente en ambas zonas es lo que hace que el tiempo de recuperación se mida en decenas de segundos y no en minutos de arranque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Servicios de negocio</w:t>
            </w:r>
          </w:p>
        </w:tc>
        <w:tc>
          <w:tcPr>
            <w:tcW w:w="0" w:type="auto"/>
          </w:tcPr>
          <w:p>
            <w:pPr>
              <w:spacing w:before="20" w:after="20"/>
            </w:pPr>
            <w:r>
              <w:t xml:space="preserve">Se ejecutan en pods repartidos entre zonas con reglas de antiafinidad; ninguna zona concentra todas las réplicas</w:t>
            </w:r>
          </w:p>
        </w:tc>
        <w:tc>
          <w:tcPr>
            <w:tcW w:w="0" w:type="auto"/>
          </w:tcPr>
          <w:p>
            <w:pPr>
              <w:spacing w:before="20" w:after="20"/>
            </w:pPr>
            <w:r>
              <w:t xml:space="preserve">Python 3.11 · Flask sobre Kubernetes</w:t>
            </w:r>
          </w:p>
        </w:tc>
      </w:tr>
      <w:tr>
        <w:tc>
          <w:tcPr>
            <w:tcW w:w="0" w:type="auto"/>
          </w:tcPr>
          <w:p>
            <w:pPr>
              <w:spacing w:before="20" w:after="20"/>
            </w:pPr>
            <w:r>
              <w:t xml:space="preserve">Orquestador</w:t>
            </w:r>
          </w:p>
        </w:tc>
        <w:tc>
          <w:tcPr>
            <w:tcW w:w="0" w:type="auto"/>
          </w:tcPr>
          <w:p>
            <w:pPr>
              <w:spacing w:before="20" w:after="20"/>
            </w:pPr>
            <w:r>
              <w:t xml:space="preserve">Retira de rotación los pods que no responden y escala la zona superviviente</w:t>
            </w:r>
          </w:p>
        </w:tc>
        <w:tc>
          <w:tcPr>
            <w:tcW w:w="0" w:type="auto"/>
          </w:tcPr>
          <w:p>
            <w:pPr>
              <w:spacing w:before="20" w:after="20"/>
            </w:pPr>
            <w:r>
              <w:t xml:space="preserve">Amazon EKS · Horizontal Pod Autoscaler</w:t>
            </w:r>
          </w:p>
        </w:tc>
      </w:tr>
      <w:tr>
        <w:tc>
          <w:tcPr>
            <w:tcW w:w="0" w:type="auto"/>
          </w:tcPr>
          <w:p>
            <w:pPr>
              <w:spacing w:before="20" w:after="20"/>
            </w:pPr>
            <w:r>
              <w:t xml:space="preserve">Base de datos</w:t>
            </w:r>
          </w:p>
        </w:tc>
        <w:tc>
          <w:tcPr>
            <w:tcW w:w="0" w:type="auto"/>
          </w:tcPr>
          <w:p>
            <w:pPr>
              <w:spacing w:before="20" w:after="20"/>
            </w:pPr>
            <w:r>
              <w:t xml:space="preserve">Promueve automáticamente la réplica a primaria conservando el RPO</w:t>
            </w:r>
          </w:p>
        </w:tc>
        <w:tc>
          <w:tcPr>
            <w:tcW w:w="0" w:type="auto"/>
          </w:tcPr>
          <w:p>
            <w:pPr>
              <w:spacing w:before="20" w:after="20"/>
            </w:pPr>
            <w:r>
              <w:t xml:space="preserve">Amazon RDS PostgreSQL multi-AZ</w:t>
            </w:r>
          </w:p>
        </w:tc>
      </w:tr>
      <w:tr>
        <w:tc>
          <w:tcPr>
            <w:tcW w:w="0" w:type="auto"/>
          </w:tcPr>
          <w:p>
            <w:pPr>
              <w:spacing w:before="20" w:after="20"/>
            </w:pPr>
            <w:r>
              <w:t xml:space="preserve">Bus de eventos</w:t>
            </w:r>
          </w:p>
        </w:tc>
        <w:tc>
          <w:tcPr>
            <w:tcW w:w="0" w:type="auto"/>
          </w:tcPr>
          <w:p>
            <w:pPr>
              <w:spacing w:before="20" w:after="20"/>
            </w:pPr>
            <w:r>
              <w:t xml:space="preserve">Continúa operando con los brokers de la zona superviviente</w:t>
            </w:r>
          </w:p>
        </w:tc>
        <w:tc>
          <w:tcPr>
            <w:tcW w:w="0" w:type="auto"/>
          </w:tcPr>
          <w:p>
            <w:pPr>
              <w:spacing w:before="20" w:after="20"/>
            </w:pPr>
            <w:r>
              <w:t xml:space="preserve">Amazon MSK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Internet → Balanceador</w:t>
            </w:r>
          </w:p>
        </w:tc>
        <w:tc>
          <w:tcPr>
            <w:tcW w:w="0" w:type="auto"/>
          </w:tcPr>
          <w:p>
            <w:pPr>
              <w:spacing w:before="20" w:after="20"/>
            </w:pPr>
            <w:r>
              <w:t xml:space="preserve">Que la detección de la zona caída y la redirección ocurran en segundos</w:t>
            </w:r>
          </w:p>
        </w:tc>
        <w:tc>
          <w:tcPr>
            <w:tcW w:w="0" w:type="auto"/>
          </w:tcPr>
          <w:p>
            <w:pPr>
              <w:spacing w:before="20" w:after="20"/>
            </w:pPr>
            <w:r>
              <w:t xml:space="preserve">AWS Application Load Balancer</w:t>
            </w:r>
          </w:p>
        </w:tc>
      </w:tr>
      <w:tr>
        <w:tc>
          <w:tcPr>
            <w:tcW w:w="0" w:type="auto"/>
          </w:tcPr>
          <w:p>
            <w:pPr>
              <w:spacing w:before="20" w:after="20"/>
            </w:pPr>
            <w:r>
              <w:t xml:space="preserve">Servicios → Base de datos</w:t>
            </w:r>
          </w:p>
        </w:tc>
        <w:tc>
          <w:tcPr>
            <w:tcW w:w="0" w:type="auto"/>
          </w:tcPr>
          <w:p>
            <w:pPr>
              <w:spacing w:before="20" w:after="20"/>
            </w:pPr>
            <w:r>
              <w:t xml:space="preserve">Que la reconexión tras la promoción sea automática y no requiera reinicio</w:t>
            </w:r>
          </w:p>
        </w:tc>
        <w:tc>
          <w:tcPr>
            <w:tcW w:w="0" w:type="auto"/>
          </w:tcPr>
          <w:p>
            <w:pPr>
              <w:spacing w:before="20" w:after="20"/>
            </w:pPr>
            <w:r>
              <w:t xml:space="preserve">psycopg con reintento y descubrimiento de punto final</w:t>
            </w:r>
          </w:p>
        </w:tc>
      </w:tr>
      <w:tr>
        <w:tc>
          <w:tcPr>
            <w:tcW w:w="0" w:type="auto"/>
          </w:tcPr>
          <w:p>
            <w:pPr>
              <w:spacing w:before="20" w:after="20"/>
            </w:pPr>
            <w:r>
              <w:t xml:space="preserve">Servicios → Bus de eventos</w:t>
            </w:r>
          </w:p>
        </w:tc>
        <w:tc>
          <w:tcPr>
            <w:tcW w:w="0" w:type="auto"/>
          </w:tcPr>
          <w:p>
            <w:pPr>
              <w:spacing w:before="20" w:after="20"/>
            </w:pPr>
            <w:r>
              <w:t xml:space="preserve">Que no se pierdan eventos confirmados durante la conmutación</w:t>
            </w:r>
          </w:p>
        </w:tc>
        <w:tc>
          <w:tcPr>
            <w:tcW w:w="0" w:type="auto"/>
          </w:tcPr>
          <w:p>
            <w:pPr>
              <w:spacing w:before="20" w:after="20"/>
            </w:pPr>
            <w:r>
              <w:t xml:space="preserve">kafka-python contra MSK multi-AZ</w:t>
            </w:r>
          </w:p>
        </w:tc>
      </w:tr>
      <w:tr>
        <w:tc>
          <w:tcPr>
            <w:tcW w:w="0" w:type="auto"/>
          </w:tcPr>
          <w:p>
            <w:pPr>
              <w:spacing w:before="20" w:after="20"/>
            </w:pPr>
            <w:r>
              <w:t xml:space="preserve">Zona A ↔ Zona B</w:t>
            </w:r>
          </w:p>
        </w:tc>
        <w:tc>
          <w:tcPr>
            <w:tcW w:w="0" w:type="auto"/>
          </w:tcPr>
          <w:p>
            <w:pPr>
              <w:spacing w:before="20" w:after="20"/>
            </w:pPr>
            <w:r>
              <w:t xml:space="preserve">Que la replicación sostenga un RPO de 30 s</w:t>
            </w:r>
          </w:p>
        </w:tc>
        <w:tc>
          <w:tcPr>
            <w:tcW w:w="0" w:type="auto"/>
          </w:tcPr>
          <w:p>
            <w:pPr>
              <w:spacing w:before="20" w:after="20"/>
            </w:pPr>
            <w:r>
              <w:t xml:space="preserve">Replicación síncrona de RDS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recuperación del servicio</w:t>
            </w:r>
          </w:p>
        </w:tc>
        <w:tc>
          <w:tcPr>
            <w:tcW w:w="0" w:type="auto"/>
          </w:tcPr>
          <w:p>
            <w:pPr>
              <w:spacing w:before="20" w:after="20"/>
            </w:pPr>
            <w:r>
              <w:t xml:space="preserve">CloudWatch · JMeter</w:t>
            </w:r>
          </w:p>
        </w:tc>
        <w:tc>
          <w:tcPr>
            <w:tcW w:w="0" w:type="auto"/>
          </w:tcPr>
          <w:p>
            <w:pPr>
              <w:spacing w:before="20" w:after="20"/>
            </w:pPr>
            <w:r>
              <w:t xml:space="preserve">RTO ≤ 10 min</w:t>
            </w:r>
          </w:p>
        </w:tc>
      </w:tr>
      <w:tr>
        <w:tc>
          <w:tcPr>
            <w:tcW w:w="0" w:type="auto"/>
          </w:tcPr>
          <w:p>
            <w:pPr>
              <w:spacing w:before="20" w:after="20"/>
            </w:pPr>
            <w:r>
              <w:t xml:space="preserve">Pérdida de datos</w:t>
            </w:r>
          </w:p>
        </w:tc>
        <w:tc>
          <w:tcPr>
            <w:tcW w:w="0" w:type="auto"/>
          </w:tcPr>
          <w:p>
            <w:pPr>
              <w:spacing w:before="20" w:after="20"/>
            </w:pPr>
            <w:r>
              <w:t xml:space="preserve">Conciliación de transacciones confirmadas antes y después</w:t>
            </w:r>
          </w:p>
        </w:tc>
        <w:tc>
          <w:tcPr>
            <w:tcW w:w="0" w:type="auto"/>
          </w:tcPr>
          <w:p>
            <w:pPr>
              <w:spacing w:before="20" w:after="20"/>
            </w:pPr>
            <w:r>
              <w:t xml:space="preserve">RPO ≤ 30 s</w:t>
            </w:r>
          </w:p>
        </w:tc>
      </w:tr>
      <w:tr>
        <w:tc>
          <w:tcPr>
            <w:tcW w:w="0" w:type="auto"/>
          </w:tcPr>
          <w:p>
            <w:pPr>
              <w:spacing w:before="20" w:after="20"/>
            </w:pPr>
            <w:r>
              <w:t xml:space="preserve">Transacciones confirmadas perdidas</w:t>
            </w:r>
          </w:p>
        </w:tc>
        <w:tc>
          <w:tcPr>
            <w:tcW w:w="0" w:type="auto"/>
          </w:tcPr>
          <w:p>
            <w:pPr>
              <w:spacing w:before="20" w:after="20"/>
            </w:pPr>
            <w:r>
              <w:t xml:space="preserve">Consulta de verificación sobre la base</w:t>
            </w:r>
          </w:p>
        </w:tc>
        <w:tc>
          <w:tcPr>
            <w:tcW w:w="0" w:type="auto"/>
          </w:tcPr>
          <w:p>
            <w:pPr>
              <w:spacing w:before="20" w:after="20"/>
            </w:pPr>
            <w:r>
              <w:t xml:space="preserve">0</w:t>
            </w:r>
          </w:p>
        </w:tc>
      </w:tr>
      <w:tr>
        <w:tc>
          <w:tcPr>
            <w:tcW w:w="0" w:type="auto"/>
          </w:tcPr>
          <w:p>
            <w:pPr>
              <w:spacing w:before="20" w:after="20"/>
            </w:pPr>
            <w:r>
              <w:t xml:space="preserve">Capacidad absorbida por la zona superviviente</w:t>
            </w:r>
          </w:p>
        </w:tc>
        <w:tc>
          <w:tcPr>
            <w:tcW w:w="0" w:type="auto"/>
          </w:tcPr>
          <w:p>
            <w:pPr>
              <w:spacing w:before="20" w:after="20"/>
            </w:pPr>
            <w:r>
              <w:t xml:space="preserve">Métricas del autoescalador</w:t>
            </w:r>
          </w:p>
        </w:tc>
        <w:tc>
          <w:tcPr>
            <w:tcW w:w="0" w:type="auto"/>
          </w:tcPr>
          <w:p>
            <w:pPr>
              <w:spacing w:before="20" w:after="20"/>
            </w:pPr>
            <w:r>
              <w:t xml:space="preserve">Sin rechazo de solicitudes</w:t>
            </w:r>
          </w:p>
        </w:tc>
      </w:tr>
    </w:tbl>
    <w:p>
      <w:r>
        <w:t/>
      </w:r>
    </w:p>
    <w:p>
      <w:r>
        <w:rPr>
          <w:b/>
        </w:rPr>
        <w:t xml:space="preserve">Criterio de refutación.</w:t>
      </w:r>
      <w:r>
        <w:t xml:space="preserve"> Un RTO superior a 10 minutos indicaría que el esquema opera de hecho como activo-pasivo. La pérdida de transacciones confirmadas indicaría que la replicación no es síncrona.</w:t>
      </w:r>
    </w:p>
    <w:p>
      <w:r>
        <w:rPr>
          <w:b/>
        </w:rPr>
        <w:t xml:space="preserve">Decisión alternativa ante resultado adverso.</w:t>
      </w:r>
      <w:r>
        <w:t xml:space="preserve"> Se pasa de replicación asíncrona a síncrona aceptando el costo en latencia de escritura, y se reserva capacidad mínima garantizada por zona en lugar de depender del autoescalado para absorber el tráfico redirigido.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Solo un servicio de inyección de fallas permite provocar la pérdida de una zona de forma controlada y repetible; simularlo apagando instancias no reproduce el comportamiento del balanceador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 multi-AZ</w:t>
            </w:r>
          </w:p>
        </w:tc>
      </w:tr>
      <w:tr>
        <w:tc>
          <w:tcPr>
            <w:tcW w:w="0" w:type="auto"/>
          </w:tcPr>
          <w:p>
            <w:pPr>
              <w:spacing w:before="20" w:after="20"/>
            </w:pPr>
            <w:r>
              <w:t xml:space="preserve">Bases de datos</w:t>
            </w:r>
          </w:p>
        </w:tc>
        <w:tc>
          <w:tcPr>
            <w:tcW w:w="0" w:type="auto"/>
          </w:tcPr>
          <w:p>
            <w:pPr>
              <w:spacing w:before="20" w:after="20"/>
            </w:pPr>
            <w:r>
              <w:t xml:space="preserve">Amazon RDS PostgreSQL multi-AZ</w:t>
            </w:r>
          </w:p>
        </w:tc>
      </w:tr>
      <w:tr>
        <w:tc>
          <w:tcPr>
            <w:tcW w:w="0" w:type="auto"/>
          </w:tcPr>
          <w:p>
            <w:pPr>
              <w:spacing w:before="20" w:after="20"/>
            </w:pPr>
            <w:r>
              <w:t xml:space="preserve">Librerías</w:t>
            </w:r>
          </w:p>
        </w:tc>
        <w:tc>
          <w:tcPr>
            <w:tcW w:w="0" w:type="auto"/>
          </w:tcPr>
          <w:p>
            <w:pPr>
              <w:spacing w:before="20" w:after="20"/>
            </w:pPr>
            <w:r>
              <w:t xml:space="preserve">psycopg · kafka-python</w:t>
            </w:r>
          </w:p>
        </w:tc>
      </w:tr>
      <w:tr>
        <w:tc>
          <w:tcPr>
            <w:tcW w:w="0" w:type="auto"/>
          </w:tcPr>
          <w:p>
            <w:pPr>
              <w:spacing w:before="20" w:after="20"/>
            </w:pPr>
            <w:r>
              <w:t xml:space="preserve">Herramientas de análisis</w:t>
            </w:r>
          </w:p>
        </w:tc>
        <w:tc>
          <w:tcPr>
            <w:tcW w:w="0" w:type="auto"/>
          </w:tcPr>
          <w:p>
            <w:pPr>
              <w:spacing w:before="20" w:after="20"/>
            </w:pPr>
            <w:r>
              <w:t xml:space="preserve">AWS Fault Injection Service · CloudWatch · Apache JMeter 5.6</w:t>
            </w:r>
          </w:p>
        </w:tc>
      </w:tr>
    </w:tbl>
    <w:p>
      <w:r>
        <w:t/>
      </w:r>
    </w:p>
    <w:p>
      <w:pPr>
        <w:pBdr>
          <w:bottom w:val="single" w:sz="6" w:space="1" w:color="D0D0D0"/>
        </w:pBdr>
      </w:pPr>
    </w:p>
    <w:p>
      <w:pPr>
        <w:pStyle w:val="Heading3"/>
      </w:pPr>
      <w:r>
        <w:t xml:space="preserve">5.8 EXP-06 — Continuidad del cliente móvil sin conexión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operación offline y sincronización de pólizas en la aplicación móvil</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billetera de pólizas es plenamente funcional sin red, que la sincronización posterior cumple el objetivo de tiempo y que el almacenamiento local no expone información en claro</w:t>
            </w:r>
          </w:p>
        </w:tc>
      </w:tr>
      <w:tr>
        <w:tc>
          <w:tcPr>
            <w:tcW w:w="0" w:type="auto"/>
          </w:tcPr>
          <w:p>
            <w:pPr>
              <w:spacing w:before="20" w:after="20"/>
            </w:pPr>
            <w:r>
              <w:rPr>
                <w:b/>
              </w:rPr>
              <w:t xml:space="preserve">Resultados esperados</w:t>
            </w:r>
          </w:p>
        </w:tc>
        <w:tc>
          <w:tcPr>
            <w:tcW w:w="0" w:type="auto"/>
          </w:tcPr>
          <w:p>
            <w:pPr>
              <w:spacing w:before="20" w:after="20"/>
            </w:pPr>
            <w:r>
              <w:t xml:space="preserve">100% de las consultas de póliza resueltas sin conexión, sincronización completa en ≤ 10 s al recuperar conectividad sin intervención del usuario, aviso de datos desactualizados al superar 24 horas y almacenamiento local ilegible fuera de la aplicación</w:t>
            </w:r>
          </w:p>
        </w:tc>
      </w:tr>
      <w:tr>
        <w:tc>
          <w:tcPr>
            <w:tcW w:w="0" w:type="auto"/>
          </w:tcPr>
          <w:p>
            <w:pPr>
              <w:spacing w:before="20" w:after="20"/>
            </w:pPr>
            <w:r>
              <w:rPr>
                <w:b/>
              </w:rPr>
              <w:t xml:space="preserve">Recursos requeridos</w:t>
            </w:r>
          </w:p>
        </w:tc>
        <w:tc>
          <w:tcPr>
            <w:tcW w:w="0" w:type="auto"/>
          </w:tcPr>
          <w:p>
            <w:pPr>
              <w:spacing w:before="20" w:after="20"/>
            </w:pPr>
            <w:r>
              <w:t xml:space="preserve">Emulador o dispositivo Android, aplicación móvil, BFF Móvil, API de pólizas y control de conectividad del emulador</w:t>
            </w:r>
          </w:p>
        </w:tc>
      </w:tr>
      <w:tr>
        <w:tc>
          <w:tcPr>
            <w:tcW w:w="0" w:type="auto"/>
          </w:tcPr>
          <w:p>
            <w:pPr>
              <w:spacing w:before="20" w:after="20"/>
            </w:pPr>
            <w:r>
              <w:rPr>
                <w:b/>
              </w:rPr>
              <w:t xml:space="preserve">Elementos de arquitectura</w:t>
            </w:r>
          </w:p>
        </w:tc>
        <w:tc>
          <w:tcPr>
            <w:tcW w:w="0" w:type="auto"/>
          </w:tcPr>
          <w:p>
            <w:pPr>
              <w:spacing w:before="20" w:after="20"/>
            </w:pPr>
            <w:r>
              <w:t xml:space="preserve">ASR-3.3. Vista funcional: aplicación móvil, almacenamiento local cifrado, BFF Móvil y módulo de sincronización</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Protocolo de sincronización y resolución de conflictos entre el almacenamiento local y el servidor · cifrado del almacenamiento local</w:t>
            </w:r>
          </w:p>
        </w:tc>
      </w:tr>
      <w:tr>
        <w:tc>
          <w:tcPr>
            <w:tcW w:w="0" w:type="auto"/>
          </w:tcPr>
          <w:p>
            <w:pPr>
              <w:spacing w:before="20" w:after="20"/>
            </w:pPr>
            <w:r>
              <w:t xml:space="preserve">Historias de arquitectura asociadas</w:t>
            </w:r>
          </w:p>
        </w:tc>
        <w:tc>
          <w:tcPr>
            <w:tcW w:w="0" w:type="auto"/>
          </w:tcPr>
          <w:p>
            <w:pPr>
              <w:spacing w:before="20" w:after="20"/>
            </w:pPr>
            <w:r>
              <w:t xml:space="preserve">SOL-44 (HU-ARQ-10)</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patrón offline-first está definido, pero no se conoce el costo real de la sincronización con el volumen de pólizas de un usuario típico ni cómo se comporta la resolución de conflictos cuando el dato cambió en ambos lados</w:t>
            </w:r>
          </w:p>
        </w:tc>
      </w:tr>
      <w:tr>
        <w:tc>
          <w:tcPr>
            <w:tcW w:w="0" w:type="auto"/>
          </w:tcPr>
          <w:p>
            <w:pPr>
              <w:spacing w:before="20" w:after="20"/>
            </w:pPr>
            <w:r>
              <w:t xml:space="preserve">Patrones de arquitectura</w:t>
            </w:r>
          </w:p>
        </w:tc>
        <w:tc>
          <w:tcPr>
            <w:tcW w:w="0" w:type="auto"/>
          </w:tcPr>
          <w:p>
            <w:pPr>
              <w:spacing w:before="20" w:after="20"/>
            </w:pPr>
            <w:r>
              <w:rPr>
                <w:b/>
              </w:rPr>
              <w:t xml:space="preserve">Offline-First</w:t>
            </w:r>
            <w:r>
              <w:t xml:space="preserve"> · </w:t>
            </w:r>
            <w:r>
              <w:rPr>
                <w:b/>
              </w:rPr>
              <w:t xml:space="preserve">Deferred Synchronization</w:t>
            </w:r>
          </w:p>
        </w:tc>
      </w:tr>
      <w:tr>
        <w:tc>
          <w:tcPr>
            <w:tcW w:w="0" w:type="auto"/>
          </w:tcPr>
          <w:p>
            <w:pPr>
              <w:spacing w:before="20" w:after="20"/>
            </w:pPr>
            <w:r>
              <w:t xml:space="preserve">Descripción de los patrones</w:t>
            </w:r>
          </w:p>
        </w:tc>
        <w:tc>
          <w:tcPr>
            <w:tcW w:w="0" w:type="auto"/>
          </w:tcPr>
          <w:p>
            <w:pPr>
              <w:spacing w:before="20" w:after="20"/>
            </w:pPr>
            <w:r>
              <w:t xml:space="preserve">La aplicación trata el almacenamiento local como fuente de lectura y la red como mecanismo de actualización en segundo plano; las acciones ejecutadas sin conexión se encolan y se envían en orden al recuperar la red</w:t>
            </w:r>
          </w:p>
        </w:tc>
      </w:tr>
      <w:tr>
        <w:tc>
          <w:tcPr>
            <w:tcW w:w="0" w:type="auto"/>
          </w:tcPr>
          <w:p>
            <w:pPr>
              <w:spacing w:before="20" w:after="20"/>
            </w:pPr>
            <w:r>
              <w:t xml:space="preserve">Tácticas de arquitectura</w:t>
            </w:r>
          </w:p>
        </w:tc>
        <w:tc>
          <w:tcPr>
            <w:tcW w:w="0" w:type="auto"/>
          </w:tcPr>
          <w:p>
            <w:pPr>
              <w:spacing w:before="20" w:after="20"/>
            </w:pPr>
            <w:r>
              <w:t xml:space="preserve">Mantener una copia local del estado · Sincronización diferida con reintento · Acotar la vigencia del dato replicado</w:t>
            </w:r>
          </w:p>
        </w:tc>
      </w:tr>
      <w:tr>
        <w:tc>
          <w:tcPr>
            <w:tcW w:w="0" w:type="auto"/>
          </w:tcPr>
          <w:p>
            <w:pPr>
              <w:spacing w:before="20" w:after="20"/>
            </w:pPr>
            <w:r>
              <w:t xml:space="preserve">Descripción de las tácticas</w:t>
            </w:r>
          </w:p>
        </w:tc>
        <w:tc>
          <w:tcPr>
            <w:tcW w:w="0" w:type="auto"/>
          </w:tcPr>
          <w:p>
            <w:pPr>
              <w:spacing w:before="20" w:after="20"/>
            </w:pPr>
            <w:r>
              <w:t xml:space="preserve">La vigencia de 24 horas acota cuánto puede desviarse el dato local, y el aviso al vencer traslada al usuario la decisión de confiar o no en lo que ve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móvil</w:t>
            </w:r>
          </w:p>
        </w:tc>
        <w:tc>
          <w:tcPr>
            <w:tcW w:w="0" w:type="auto"/>
          </w:tcPr>
          <w:p>
            <w:pPr>
              <w:spacing w:before="20" w:after="20"/>
            </w:pPr>
            <w:r>
              <w:t xml:space="preserve">Sirve las pólizas desde el almacenamiento local sin requerir red</w:t>
            </w:r>
          </w:p>
        </w:tc>
        <w:tc>
          <w:tcPr>
            <w:tcW w:w="0" w:type="auto"/>
          </w:tcPr>
          <w:p>
            <w:pPr>
              <w:spacing w:before="20" w:after="20"/>
            </w:pPr>
            <w:r>
              <w:t xml:space="preserve">Kotlin nativo · Android</w:t>
            </w:r>
          </w:p>
        </w:tc>
      </w:tr>
      <w:tr>
        <w:tc>
          <w:tcPr>
            <w:tcW w:w="0" w:type="auto"/>
          </w:tcPr>
          <w:p>
            <w:pPr>
              <w:spacing w:before="20" w:after="20"/>
            </w:pPr>
            <w:r>
              <w:t xml:space="preserve">Almacenamiento local cifrado</w:t>
            </w:r>
          </w:p>
        </w:tc>
        <w:tc>
          <w:tcPr>
            <w:tcW w:w="0" w:type="auto"/>
          </w:tcPr>
          <w:p>
            <w:pPr>
              <w:spacing w:before="20" w:after="20"/>
            </w:pPr>
            <w:r>
              <w:t xml:space="preserve">Conserva las pólizas cifradas y solo la información mínima necesaria para mostrarlas</w:t>
            </w:r>
          </w:p>
        </w:tc>
        <w:tc>
          <w:tcPr>
            <w:tcW w:w="0" w:type="auto"/>
          </w:tcPr>
          <w:p>
            <w:pPr>
              <w:spacing w:before="20" w:after="20"/>
            </w:pPr>
            <w:r>
              <w:t xml:space="preserve">Room con SQLCipher · EncryptedSharedPreferences</w:t>
            </w:r>
          </w:p>
        </w:tc>
      </w:tr>
      <w:tr>
        <w:tc>
          <w:tcPr>
            <w:tcW w:w="0" w:type="auto"/>
          </w:tcPr>
          <w:p>
            <w:pPr>
              <w:spacing w:before="20" w:after="20"/>
            </w:pPr>
            <w:r>
              <w:t xml:space="preserve">Módulo de sincronización</w:t>
            </w:r>
          </w:p>
        </w:tc>
        <w:tc>
          <w:tcPr>
            <w:tcW w:w="0" w:type="auto"/>
          </w:tcPr>
          <w:p>
            <w:pPr>
              <w:spacing w:before="20" w:after="20"/>
            </w:pPr>
            <w:r>
              <w:t xml:space="preserve">Detecta la reconexión y sincroniza en 10 s o menos sin intervención</w:t>
            </w:r>
          </w:p>
        </w:tc>
        <w:tc>
          <w:tcPr>
            <w:tcW w:w="0" w:type="auto"/>
          </w:tcPr>
          <w:p>
            <w:pPr>
              <w:spacing w:before="20" w:after="20"/>
            </w:pPr>
            <w:r>
              <w:t xml:space="preserve">Kotlin · WorkManager</w:t>
            </w:r>
          </w:p>
        </w:tc>
      </w:tr>
      <w:tr>
        <w:tc>
          <w:tcPr>
            <w:tcW w:w="0" w:type="auto"/>
          </w:tcPr>
          <w:p>
            <w:pPr>
              <w:spacing w:before="20" w:after="20"/>
            </w:pPr>
            <w:r>
              <w:t xml:space="preserve">BFF Móvil</w:t>
            </w:r>
          </w:p>
        </w:tc>
        <w:tc>
          <w:tcPr>
            <w:tcW w:w="0" w:type="auto"/>
          </w:tcPr>
          <w:p>
            <w:pPr>
              <w:spacing w:before="20" w:after="20"/>
            </w:pPr>
            <w:r>
              <w:t xml:space="preserve">Expone las pólizas en cargas compactas y resuelve conflictos con precedencia del servidor</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 Almacenamiento local</w:t>
            </w:r>
          </w:p>
        </w:tc>
        <w:tc>
          <w:tcPr>
            <w:tcW w:w="0" w:type="auto"/>
          </w:tcPr>
          <w:p>
            <w:pPr>
              <w:spacing w:before="20" w:after="20"/>
            </w:pPr>
            <w:r>
              <w:t xml:space="preserve">Que la consulta se resuelva sin red y el contenido esté cifrado en reposo</w:t>
            </w:r>
          </w:p>
        </w:tc>
        <w:tc>
          <w:tcPr>
            <w:tcW w:w="0" w:type="auto"/>
          </w:tcPr>
          <w:p>
            <w:pPr>
              <w:spacing w:before="20" w:after="20"/>
            </w:pPr>
            <w:r>
              <w:t xml:space="preserve">Room · SQLCipher</w:t>
            </w:r>
          </w:p>
        </w:tc>
      </w:tr>
      <w:tr>
        <w:tc>
          <w:tcPr>
            <w:tcW w:w="0" w:type="auto"/>
          </w:tcPr>
          <w:p>
            <w:pPr>
              <w:spacing w:before="20" w:after="20"/>
            </w:pPr>
            <w:r>
              <w:t xml:space="preserve">Aplicación → BFF Móvil</w:t>
            </w:r>
          </w:p>
        </w:tc>
        <w:tc>
          <w:tcPr>
            <w:tcW w:w="0" w:type="auto"/>
          </w:tcPr>
          <w:p>
            <w:pPr>
              <w:spacing w:before="20" w:after="20"/>
            </w:pPr>
            <w:r>
              <w:t xml:space="preserve">Que la carga útil sea compacta y tolere red intermitente</w:t>
            </w:r>
          </w:p>
        </w:tc>
        <w:tc>
          <w:tcPr>
            <w:tcW w:w="0" w:type="auto"/>
          </w:tcPr>
          <w:p>
            <w:pPr>
              <w:spacing w:before="20" w:after="20"/>
            </w:pPr>
            <w:r>
              <w:t xml:space="preserve">REST sobre TLS 1.3 · Retrofit · OkHttp</w:t>
            </w:r>
          </w:p>
        </w:tc>
      </w:tr>
      <w:tr>
        <w:tc>
          <w:tcPr>
            <w:tcW w:w="0" w:type="auto"/>
          </w:tcPr>
          <w:p>
            <w:pPr>
              <w:spacing w:before="20" w:after="20"/>
            </w:pPr>
            <w:r>
              <w:t xml:space="preserve">Módulo de sincronización ↔ BFF</w:t>
            </w:r>
          </w:p>
        </w:tc>
        <w:tc>
          <w:tcPr>
            <w:tcW w:w="0" w:type="auto"/>
          </w:tcPr>
          <w:p>
            <w:pPr>
              <w:spacing w:before="20" w:after="20"/>
            </w:pPr>
            <w:r>
              <w:t xml:space="preserve">Que las acciones diferidas se envíen en el orden en que se ejecutaron</w:t>
            </w:r>
          </w:p>
        </w:tc>
        <w:tc>
          <w:tcPr>
            <w:tcW w:w="0" w:type="auto"/>
          </w:tcPr>
          <w:p>
            <w:pPr>
              <w:spacing w:before="20" w:after="20"/>
            </w:pPr>
            <w:r>
              <w:t xml:space="preserve">WorkManager con reintento y espera creciente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Consultas resueltas sin conexión</w:t>
            </w:r>
          </w:p>
        </w:tc>
        <w:tc>
          <w:tcPr>
            <w:tcW w:w="0" w:type="auto"/>
          </w:tcPr>
          <w:p>
            <w:pPr>
              <w:spacing w:before="20" w:after="20"/>
            </w:pPr>
            <w:r>
              <w:t xml:space="preserve">Suite de pruebas instrumentadas</w:t>
            </w:r>
          </w:p>
        </w:tc>
        <w:tc>
          <w:tcPr>
            <w:tcW w:w="0" w:type="auto"/>
          </w:tcPr>
          <w:p>
            <w:pPr>
              <w:spacing w:before="20" w:after="20"/>
            </w:pPr>
            <w:r>
              <w:t xml:space="preserve">100%</w:t>
            </w:r>
          </w:p>
        </w:tc>
      </w:tr>
      <w:tr>
        <w:tc>
          <w:tcPr>
            <w:tcW w:w="0" w:type="auto"/>
          </w:tcPr>
          <w:p>
            <w:pPr>
              <w:spacing w:before="20" w:after="20"/>
            </w:pPr>
            <w:r>
              <w:t xml:space="preserve">Tiempo de sincronización tras reconectar</w:t>
            </w:r>
          </w:p>
        </w:tc>
        <w:tc>
          <w:tcPr>
            <w:tcW w:w="0" w:type="auto"/>
          </w:tcPr>
          <w:p>
            <w:pPr>
              <w:spacing w:before="20" w:after="20"/>
            </w:pPr>
            <w:r>
              <w:t xml:space="preserve">Cronometraje instrumentado</w:t>
            </w:r>
          </w:p>
        </w:tc>
        <w:tc>
          <w:tcPr>
            <w:tcW w:w="0" w:type="auto"/>
          </w:tcPr>
          <w:p>
            <w:pPr>
              <w:spacing w:before="20" w:after="20"/>
            </w:pPr>
            <w:r>
              <w:t xml:space="preserve">≤ 10 s</w:t>
            </w:r>
          </w:p>
        </w:tc>
      </w:tr>
      <w:tr>
        <w:tc>
          <w:tcPr>
            <w:tcW w:w="0" w:type="auto"/>
          </w:tcPr>
          <w:p>
            <w:pPr>
              <w:spacing w:before="20" w:after="20"/>
            </w:pPr>
            <w:r>
              <w:t xml:space="preserve">Legibilidad del almacenamiento local</w:t>
            </w:r>
          </w:p>
        </w:tc>
        <w:tc>
          <w:tcPr>
            <w:tcW w:w="0" w:type="auto"/>
          </w:tcPr>
          <w:p>
            <w:pPr>
              <w:spacing w:before="20" w:after="20"/>
            </w:pPr>
            <w:r>
              <w:t xml:space="preserve">Inspección del dispositivo con depuración</w:t>
            </w:r>
          </w:p>
        </w:tc>
        <w:tc>
          <w:tcPr>
            <w:tcW w:w="0" w:type="auto"/>
          </w:tcPr>
          <w:p>
            <w:pPr>
              <w:spacing w:before="20" w:after="20"/>
            </w:pPr>
            <w:r>
              <w:t xml:space="preserve">Ilegible fuera de la aplicación</w:t>
            </w:r>
          </w:p>
        </w:tc>
      </w:tr>
      <w:tr>
        <w:tc>
          <w:tcPr>
            <w:tcW w:w="0" w:type="auto"/>
          </w:tcPr>
          <w:p>
            <w:pPr>
              <w:spacing w:before="20" w:after="20"/>
            </w:pPr>
            <w:r>
              <w:t xml:space="preserve">Aviso de datos desactualizados</w:t>
            </w:r>
          </w:p>
        </w:tc>
        <w:tc>
          <w:tcPr>
            <w:tcW w:w="0" w:type="auto"/>
          </w:tcPr>
          <w:p>
            <w:pPr>
              <w:spacing w:before="20" w:after="20"/>
            </w:pPr>
            <w:r>
              <w:t xml:space="preserve">Prueba con reloj adelantado 24 h</w:t>
            </w:r>
          </w:p>
        </w:tc>
        <w:tc>
          <w:tcPr>
            <w:tcW w:w="0" w:type="auto"/>
          </w:tcPr>
          <w:p>
            <w:pPr>
              <w:spacing w:before="20" w:after="20"/>
            </w:pPr>
            <w:r>
              <w:t xml:space="preserve">Aviso visible, consulta no bloqueada</w:t>
            </w:r>
          </w:p>
        </w:tc>
      </w:tr>
    </w:tbl>
    <w:p>
      <w:r>
        <w:t/>
      </w:r>
    </w:p>
    <w:p>
      <w:r>
        <w:rPr>
          <w:b/>
        </w:rPr>
        <w:t xml:space="preserve">Criterio de refutación.</w:t>
      </w:r>
      <w:r>
        <w:t xml:space="preserve"> Cualquier consulta de póliza que requiera red refuta la hipótesis. Una sincronización por encima de 10 s obliga a revisar el protocolo del BFF Móvil.</w:t>
      </w:r>
    </w:p>
    <w:p>
      <w:r>
        <w:rPr>
          <w:b/>
        </w:rPr>
        <w:t xml:space="preserve">Decisión alternativa ante resultado adverso.</w:t>
      </w:r>
      <w:r>
        <w:t xml:space="preserve"> Se pasa de sincronización por instantánea completa a sincronización incremental por diferencias, enviando solo lo que cambió desde la última marca de sincronización.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exige controlar la conectividad de forma determinista e inspeccionar el almacenamiento del dispositivo, lo que solo es viable en emulador con depuración habilitada</w:t>
            </w:r>
          </w:p>
        </w:tc>
      </w:tr>
      <w:tr>
        <w:tc>
          <w:tcPr>
            <w:tcW w:w="0" w:type="auto"/>
          </w:tcPr>
          <w:p>
            <w:pPr>
              <w:spacing w:before="20" w:after="20"/>
            </w:pPr>
            <w:r>
              <w:t xml:space="preserve">Lenguajes</w:t>
            </w:r>
          </w:p>
        </w:tc>
        <w:tc>
          <w:tcPr>
            <w:tcW w:w="0" w:type="auto"/>
          </w:tcPr>
          <w:p>
            <w:pPr>
              <w:spacing w:before="20" w:after="20"/>
            </w:pPr>
            <w:r>
              <w:t xml:space="preserve">Kotlin (cliente) · Python 3.11 (BFF)</w:t>
            </w:r>
          </w:p>
        </w:tc>
      </w:tr>
      <w:tr>
        <w:tc>
          <w:tcPr>
            <w:tcW w:w="0" w:type="auto"/>
          </w:tcPr>
          <w:p>
            <w:pPr>
              <w:spacing w:before="20" w:after="20"/>
            </w:pPr>
            <w:r>
              <w:t xml:space="preserve">Frameworks</w:t>
            </w:r>
          </w:p>
        </w:tc>
        <w:tc>
          <w:tcPr>
            <w:tcW w:w="0" w:type="auto"/>
          </w:tcPr>
          <w:p>
            <w:pPr>
              <w:spacing w:before="20" w:after="20"/>
            </w:pPr>
            <w:r>
              <w:t xml:space="preserve">Android SDK · Flask</w:t>
            </w:r>
          </w:p>
        </w:tc>
      </w:tr>
      <w:tr>
        <w:tc>
          <w:tcPr>
            <w:tcW w:w="0" w:type="auto"/>
          </w:tcPr>
          <w:p>
            <w:pPr>
              <w:spacing w:before="20" w:after="20"/>
            </w:pPr>
            <w:r>
              <w:t xml:space="preserve">Plataforma de despliegue</w:t>
            </w:r>
          </w:p>
        </w:tc>
        <w:tc>
          <w:tcPr>
            <w:tcW w:w="0" w:type="auto"/>
          </w:tcPr>
          <w:p>
            <w:pPr>
              <w:spacing w:before="20" w:after="20"/>
            </w:pPr>
            <w:r>
              <w:t xml:space="preserve">Emulador Android API 34 · AWS EKS (BFF)</w:t>
            </w:r>
          </w:p>
        </w:tc>
      </w:tr>
      <w:tr>
        <w:tc>
          <w:tcPr>
            <w:tcW w:w="0" w:type="auto"/>
          </w:tcPr>
          <w:p>
            <w:pPr>
              <w:spacing w:before="20" w:after="20"/>
            </w:pPr>
            <w:r>
              <w:t xml:space="preserve">Almacenamiento</w:t>
            </w:r>
          </w:p>
        </w:tc>
        <w:tc>
          <w:tcPr>
            <w:tcW w:w="0" w:type="auto"/>
          </w:tcPr>
          <w:p>
            <w:pPr>
              <w:spacing w:before="20" w:after="20"/>
            </w:pPr>
            <w:r>
              <w:t xml:space="preserve">Room con SQLCipher · EncryptedSharedPreferences</w:t>
            </w:r>
          </w:p>
        </w:tc>
      </w:tr>
      <w:tr>
        <w:tc>
          <w:tcPr>
            <w:tcW w:w="0" w:type="auto"/>
          </w:tcPr>
          <w:p>
            <w:pPr>
              <w:spacing w:before="20" w:after="20"/>
            </w:pPr>
            <w:r>
              <w:t xml:space="preserve">Librerías</w:t>
            </w:r>
          </w:p>
        </w:tc>
        <w:tc>
          <w:tcPr>
            <w:tcW w:w="0" w:type="auto"/>
          </w:tcPr>
          <w:p>
            <w:pPr>
              <w:spacing w:before="20" w:after="20"/>
            </w:pPr>
            <w:r>
              <w:t xml:space="preserve">Retrofit · OkHttp · WorkManager · Kotlin Coroutines</w:t>
            </w:r>
          </w:p>
        </w:tc>
      </w:tr>
      <w:tr>
        <w:tc>
          <w:tcPr>
            <w:tcW w:w="0" w:type="auto"/>
          </w:tcPr>
          <w:p>
            <w:pPr>
              <w:spacing w:before="20" w:after="20"/>
            </w:pPr>
            <w:r>
              <w:t xml:space="preserve">Herramientas de análisis</w:t>
            </w:r>
          </w:p>
        </w:tc>
        <w:tc>
          <w:tcPr>
            <w:tcW w:w="0" w:type="auto"/>
          </w:tcPr>
          <w:p>
            <w:pPr>
              <w:spacing w:before="20" w:after="20"/>
            </w:pPr>
            <w:r>
              <w:t xml:space="preserve">Espresso · JUnit 5 · MockK · control de conectividad del emulador · Android Debug Bridge</w:t>
            </w:r>
          </w:p>
        </w:tc>
      </w:tr>
    </w:tbl>
    <w:p>
      <w:r>
        <w:t/>
      </w:r>
    </w:p>
    <w:p>
      <w:pPr>
        <w:pStyle w:val="Quote"/>
      </w:pPr>
      <w:r>
        <w:rPr>
          <w:b/>
        </w:rPr>
        <w:t xml:space="preserve">Corrección respecto de versiones anteriores de esta propuesta.</w:t>
      </w:r>
      <w:r>
        <w:t xml:space="preserve"> Versiones previas mencionaban </w:t>
      </w:r>
      <w:r>
        <w:rPr>
          <w:rFonts w:ascii="Consolas" w:hAnsi="Consolas"/>
          <w:sz w:val="18"/>
          <w:color w:val="B03A2E"/>
        </w:rPr>
        <w:t xml:space="preserve">AsyncStorage</w:t>
      </w:r>
      <w:r>
        <w:t xml:space="preserve"> como almacenamiento local. </w:t>
      </w:r>
      <w:r>
        <w:rPr>
          <w:rFonts w:ascii="Consolas" w:hAnsi="Consolas"/>
          <w:sz w:val="18"/>
          <w:color w:val="B03A2E"/>
        </w:rPr>
        <w:t xml:space="preserve">AsyncStorage</w:t>
      </w:r>
      <w:r>
        <w:t xml:space="preserve"> pertenece a React Native, stack que el equipo descartó el 19 de agosto al adoptar Kotlin nativo. El mecanismo correcto es Room con cifrado, complementado con </w:t>
      </w:r>
      <w:r>
        <w:rPr>
          <w:rFonts w:ascii="Consolas" w:hAnsi="Consolas"/>
          <w:sz w:val="18"/>
          <w:color w:val="B03A2E"/>
        </w:rPr>
        <w:t xml:space="preserve">EncryptedSharedPreferences</w:t>
      </w:r>
      <w:r>
        <w:t xml:space="preserve"> para credenciales.</w:t>
      </w:r>
    </w:p>
    <w:p>
      <w:pPr>
        <w:pBdr>
          <w:bottom w:val="single" w:sz="6" w:space="1" w:color="D0D0D0"/>
        </w:pBdr>
      </w:pPr>
    </w:p>
    <w:p>
      <w:pPr>
        <w:pStyle w:val="Heading3"/>
      </w:pPr>
      <w:r>
        <w:t xml:space="preserve">5.9 EXP-07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5.10 EXP-08 — Tiempo de detección de una alteración de póliza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integridad y auditoría de pólizas emitidas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un intento de alterar una póliza emitida con credenciales válidas es rechazado por la plataforma y, sobre todo, que </w:t>
            </w:r>
            <w:r>
              <w:rPr>
                <w:b/>
              </w:rPr>
              <w:t xml:space="preserve">la ruta de auditoría propia lo detecta y registra en menos de 1 segundo</w:t>
            </w:r>
          </w:p>
        </w:tc>
      </w:tr>
      <w:tr>
        <w:tc>
          <w:tcPr>
            <w:tcW w:w="0" w:type="auto"/>
          </w:tcPr>
          <w:p>
            <w:pPr>
              <w:spacing w:before="20" w:after="20"/>
            </w:pPr>
            <w:r>
              <w:rPr>
                <w:b/>
              </w:rPr>
              <w:t xml:space="preserve">Resultados esperados</w:t>
            </w:r>
          </w:p>
        </w:tc>
        <w:tc>
          <w:tcPr>
            <w:tcW w:w="0" w:type="auto"/>
          </w:tcPr>
          <w:p>
            <w:pPr>
              <w:spacing w:before="20" w:after="20"/>
            </w:pPr>
            <w:r>
              <w:t xml:space="preserve">Escritura y borrado directos rechazados por el bloqueo de escritura, entrada en el registro de auditoría en menos de 1 s, verificación de firma detectando cualquier alteración y registro de auditoría inalterable</w:t>
            </w:r>
          </w:p>
        </w:tc>
      </w:tr>
      <w:tr>
        <w:tc>
          <w:tcPr>
            <w:tcW w:w="0" w:type="auto"/>
          </w:tcPr>
          <w:p>
            <w:pPr>
              <w:spacing w:before="20" w:after="20"/>
            </w:pPr>
            <w:r>
              <w:rPr>
                <w:b/>
              </w:rPr>
              <w:t xml:space="preserve">Recursos requeridos</w:t>
            </w:r>
          </w:p>
        </w:tc>
        <w:tc>
          <w:tcPr>
            <w:tcW w:w="0" w:type="auto"/>
          </w:tcPr>
          <w:p>
            <w:pPr>
              <w:spacing w:before="20" w:after="20"/>
            </w:pPr>
            <w:r>
              <w:t xml:space="preserve">Servicio de Emisión &amp; Pólizas, almacenamiento de objetos con bloqueo de escritura, AWS KMS, registro de auditoría, credenciales administrativas de prueba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ASR-4.2. Vista funcional: Emisión &amp; Pólizas, Object Storage, Consentimientos &amp; Auditoría. Vista de información: datos confidenciales firmados</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Tiempo de detección de la ruta de auditoría · verificación de firma en cada lectura</w:t>
            </w:r>
          </w:p>
        </w:tc>
      </w:tr>
      <w:tr>
        <w:tc>
          <w:tcPr>
            <w:tcW w:w="0" w:type="auto"/>
          </w:tcPr>
          <w:p>
            <w:pPr>
              <w:spacing w:before="20" w:after="20"/>
            </w:pPr>
            <w:r>
              <w:t xml:space="preserve">Historias de arquitectura asociadas</w:t>
            </w:r>
          </w:p>
        </w:tc>
        <w:tc>
          <w:tcPr>
            <w:tcW w:w="0" w:type="auto"/>
          </w:tcPr>
          <w:p>
            <w:pPr>
              <w:spacing w:before="20" w:after="20"/>
            </w:pPr>
            <w:r>
              <w:t xml:space="preserve">SOL-45 (HU-ARQ-11) · SOL-23 (HU-ARQ-03)</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bloqueo de escritura es una garantía documentada de la plataforma y sobre eso no hay incertidumbre. La incertidumbre está en la ruta de auditoría propia: si el registro se escribe de forma asíncrona, el umbral de 1 segundo puede no cumplirse, y eso sí es una decisión de diseño del equipo</w:t>
            </w:r>
          </w:p>
        </w:tc>
      </w:tr>
      <w:tr>
        <w:tc>
          <w:tcPr>
            <w:tcW w:w="0" w:type="auto"/>
          </w:tcPr>
          <w:p>
            <w:pPr>
              <w:spacing w:before="20" w:after="20"/>
            </w:pPr>
            <w:r>
              <w:t xml:space="preserve">Patrones de arquitectura</w:t>
            </w:r>
          </w:p>
        </w:tc>
        <w:tc>
          <w:tcPr>
            <w:tcW w:w="0" w:type="auto"/>
          </w:tcPr>
          <w:p>
            <w:pPr>
              <w:spacing w:before="20" w:after="20"/>
            </w:pPr>
            <w:r>
              <w:rPr>
                <w:b/>
              </w:rPr>
              <w:t xml:space="preserve">Immutable Storage (WORM)</w:t>
            </w:r>
            <w:r>
              <w:t xml:space="preserve"> · </w:t>
            </w:r>
            <w:r>
              <w:rPr>
                <w:b/>
              </w:rPr>
              <w:t xml:space="preserve">Audit Trail</w:t>
            </w:r>
            <w:r>
              <w:t xml:space="preserve"> · </w:t>
            </w:r>
            <w:r>
              <w:rPr>
                <w:b/>
              </w:rPr>
              <w:t xml:space="preserve">Digital Signature</w:t>
            </w:r>
          </w:p>
        </w:tc>
      </w:tr>
      <w:tr>
        <w:tc>
          <w:tcPr>
            <w:tcW w:w="0" w:type="auto"/>
          </w:tcPr>
          <w:p>
            <w:pPr>
              <w:spacing w:before="20" w:after="20"/>
            </w:pPr>
            <w:r>
              <w:t xml:space="preserve">Descripción de los patrones</w:t>
            </w:r>
          </w:p>
        </w:tc>
        <w:tc>
          <w:tcPr>
            <w:tcW w:w="0" w:type="auto"/>
          </w:tcPr>
          <w:p>
            <w:pPr>
              <w:spacing w:before="20" w:after="20"/>
            </w:pPr>
            <w:r>
              <w:t xml:space="preserve">El almacenamiento rechaza toda modificación durante el periodo de retención incluso para cuentas administrativas; cada operación deja un registro inmutable; y la firma permite detectar alteración en cualquier lectura posterior</w:t>
            </w:r>
          </w:p>
        </w:tc>
      </w:tr>
      <w:tr>
        <w:tc>
          <w:tcPr>
            <w:tcW w:w="0" w:type="auto"/>
          </w:tcPr>
          <w:p>
            <w:pPr>
              <w:spacing w:before="20" w:after="20"/>
            </w:pPr>
            <w:r>
              <w:t xml:space="preserve">Tácticas de arquitectura</w:t>
            </w:r>
          </w:p>
        </w:tc>
        <w:tc>
          <w:tcPr>
            <w:tcW w:w="0" w:type="auto"/>
          </w:tcPr>
          <w:p>
            <w:pPr>
              <w:spacing w:before="20" w:after="20"/>
            </w:pPr>
            <w:r>
              <w:t xml:space="preserve">Detección de intrusión mediante verificación de integridad · Registro no repudiable de las operaciones · Autorización mediante token de servicio</w:t>
            </w:r>
          </w:p>
        </w:tc>
      </w:tr>
      <w:tr>
        <w:tc>
          <w:tcPr>
            <w:tcW w:w="0" w:type="auto"/>
          </w:tcPr>
          <w:p>
            <w:pPr>
              <w:spacing w:before="20" w:after="20"/>
            </w:pPr>
            <w:r>
              <w:t xml:space="preserve">Descripción de las tácticas</w:t>
            </w:r>
          </w:p>
        </w:tc>
        <w:tc>
          <w:tcPr>
            <w:tcW w:w="0" w:type="auto"/>
          </w:tcPr>
          <w:p>
            <w:pPr>
              <w:spacing w:before="20" w:after="20"/>
            </w:pPr>
            <w:r>
              <w:t xml:space="preserve">El control no depende de que el atacante carezca de permisos, sino de que la plataforma no acepte la operación: pasa de ser una política a ser una propiedad del sistema</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&amp; Pólizas</w:t>
            </w:r>
          </w:p>
        </w:tc>
        <w:tc>
          <w:tcPr>
            <w:tcW w:w="0" w:type="auto"/>
          </w:tcPr>
          <w:p>
            <w:pPr>
              <w:spacing w:before="20" w:after="20"/>
            </w:pPr>
            <w:r>
              <w:t xml:space="preserve">Firma la póliza al emitirla y verifica la firma en cada lectura, bloqueando la operación ante firma inválida</w:t>
            </w:r>
          </w:p>
        </w:tc>
        <w:tc>
          <w:tcPr>
            <w:tcW w:w="0" w:type="auto"/>
          </w:tcPr>
          <w:p>
            <w:pPr>
              <w:spacing w:before="20" w:after="20"/>
            </w:pPr>
            <w:r>
              <w:t xml:space="preserve">Python 3.11 · Flask</w:t>
            </w:r>
          </w:p>
        </w:tc>
      </w:tr>
      <w:tr>
        <w:tc>
          <w:tcPr>
            <w:tcW w:w="0" w:type="auto"/>
          </w:tcPr>
          <w:p>
            <w:pPr>
              <w:spacing w:before="20" w:after="20"/>
            </w:pPr>
            <w:r>
              <w:t xml:space="preserve">Almacenamiento de objetos</w:t>
            </w:r>
          </w:p>
        </w:tc>
        <w:tc>
          <w:tcPr>
            <w:tcW w:w="0" w:type="auto"/>
          </w:tcPr>
          <w:p>
            <w:pPr>
              <w:spacing w:before="20" w:after="20"/>
            </w:pPr>
            <w:r>
              <w:t xml:space="preserve">Rechaza modificación y borrado durante el periodo de retención, incluso con credenciales administrativas</w:t>
            </w:r>
          </w:p>
        </w:tc>
        <w:tc>
          <w:tcPr>
            <w:tcW w:w="0" w:type="auto"/>
          </w:tcPr>
          <w:p>
            <w:pPr>
              <w:spacing w:before="20" w:after="20"/>
            </w:pPr>
            <w:r>
              <w:t xml:space="preserve">Amazon S3 con Object Lock en modo cumplimiento</w:t>
            </w:r>
          </w:p>
        </w:tc>
      </w:tr>
      <w:tr>
        <w:tc>
          <w:tcPr>
            <w:tcW w:w="0" w:type="auto"/>
          </w:tcPr>
          <w:p>
            <w:pPr>
              <w:spacing w:before="20" w:after="20"/>
            </w:pPr>
            <w:r>
              <w:t xml:space="preserve">Gestión de llaves</w:t>
            </w:r>
          </w:p>
        </w:tc>
        <w:tc>
          <w:tcPr>
            <w:tcW w:w="0" w:type="auto"/>
          </w:tcPr>
          <w:p>
            <w:pPr>
              <w:spacing w:before="20" w:after="20"/>
            </w:pPr>
            <w:r>
              <w:t xml:space="preserve">Firma el resumen del documento y custodia la llave</w:t>
            </w:r>
          </w:p>
        </w:tc>
        <w:tc>
          <w:tcPr>
            <w:tcW w:w="0" w:type="auto"/>
          </w:tcPr>
          <w:p>
            <w:pPr>
              <w:spacing w:before="20" w:after="20"/>
            </w:pPr>
            <w:r>
              <w:t xml:space="preserve">AWS KMS</w:t>
            </w:r>
          </w:p>
        </w:tc>
      </w:tr>
      <w:tr>
        <w:tc>
          <w:tcPr>
            <w:tcW w:w="0" w:type="auto"/>
          </w:tcPr>
          <w:p>
            <w:pPr>
              <w:spacing w:before="20" w:after="20"/>
            </w:pPr>
            <w:r>
              <w:t xml:space="preserve">Consentimientos &amp; Auditoría</w:t>
            </w:r>
          </w:p>
        </w:tc>
        <w:tc>
          <w:tcPr>
            <w:tcW w:w="0" w:type="auto"/>
          </w:tcPr>
          <w:p>
            <w:pPr>
              <w:spacing w:before="20" w:after="20"/>
            </w:pPr>
            <w:r>
              <w:t xml:space="preserve">Registra cada operación con servicio, momento, token y resumen antes y después, en menos de 1 s</w:t>
            </w:r>
          </w:p>
        </w:tc>
        <w:tc>
          <w:tcPr>
            <w:tcW w:w="0" w:type="auto"/>
          </w:tcPr>
          <w:p>
            <w:pPr>
              <w:spacing w:before="20" w:after="20"/>
            </w:pPr>
            <w:r>
              <w:t xml:space="preserve">Python 3.11 · Flask · S3 Object Lock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 Almacenamiento</w:t>
            </w:r>
          </w:p>
        </w:tc>
        <w:tc>
          <w:tcPr>
            <w:tcW w:w="0" w:type="auto"/>
          </w:tcPr>
          <w:p>
            <w:pPr>
              <w:spacing w:before="20" w:after="20"/>
            </w:pPr>
            <w:r>
              <w:t xml:space="preserve">Que la escritura autorizada funcione y la directa sea rechazada</w:t>
            </w:r>
          </w:p>
        </w:tc>
        <w:tc>
          <w:tcPr>
            <w:tcW w:w="0" w:type="auto"/>
          </w:tcPr>
          <w:p>
            <w:pPr>
              <w:spacing w:before="20" w:after="20"/>
            </w:pPr>
            <w:r>
              <w:t xml:space="preserve">AWS SDK (boto3)</w:t>
            </w:r>
          </w:p>
        </w:tc>
      </w:tr>
      <w:tr>
        <w:tc>
          <w:tcPr>
            <w:tcW w:w="0" w:type="auto"/>
          </w:tcPr>
          <w:p>
            <w:pPr>
              <w:spacing w:before="20" w:after="20"/>
            </w:pPr>
            <w:r>
              <w:t xml:space="preserve">Emisión → Gestión de llaves</w:t>
            </w:r>
          </w:p>
        </w:tc>
        <w:tc>
          <w:tcPr>
            <w:tcW w:w="0" w:type="auto"/>
          </w:tcPr>
          <w:p>
            <w:pPr>
              <w:spacing w:before="20" w:after="20"/>
            </w:pPr>
            <w:r>
              <w:t xml:space="preserve">Que la firma se genere y verifique sin exponer el material de la llave</w:t>
            </w:r>
          </w:p>
        </w:tc>
        <w:tc>
          <w:tcPr>
            <w:tcW w:w="0" w:type="auto"/>
          </w:tcPr>
          <w:p>
            <w:pPr>
              <w:spacing w:before="20" w:after="20"/>
            </w:pPr>
            <w:r>
              <w:t xml:space="preserve">AWS KMS · boto3</w:t>
            </w:r>
          </w:p>
        </w:tc>
      </w:tr>
      <w:tr>
        <w:tc>
          <w:tcPr>
            <w:tcW w:w="0" w:type="auto"/>
          </w:tcPr>
          <w:p>
            <w:pPr>
              <w:spacing w:before="20" w:after="20"/>
            </w:pPr>
            <w:r>
              <w:t xml:space="preserve">Cliente administrativo → Almacenamiento</w:t>
            </w:r>
          </w:p>
        </w:tc>
        <w:tc>
          <w:tcPr>
            <w:tcW w:w="0" w:type="auto"/>
          </w:tcPr>
          <w:p>
            <w:pPr>
              <w:spacing w:before="20" w:after="20"/>
            </w:pPr>
            <w:r>
              <w:t xml:space="preserve">Que el intento de sobrescritura y borrado sea rechazado por la plataforma</w:t>
            </w:r>
          </w:p>
        </w:tc>
        <w:tc>
          <w:tcPr>
            <w:tcW w:w="0" w:type="auto"/>
          </w:tcPr>
          <w:p>
            <w:pPr>
              <w:spacing w:before="20" w:after="20"/>
            </w:pPr>
            <w:r>
              <w:t xml:space="preserve">AWS CLI con credenciales administrativas</w:t>
            </w:r>
          </w:p>
        </w:tc>
      </w:tr>
      <w:tr>
        <w:tc>
          <w:tcPr>
            <w:tcW w:w="0" w:type="auto"/>
          </w:tcPr>
          <w:p>
            <w:pPr>
              <w:spacing w:before="20" w:after="20"/>
            </w:pPr>
            <w:r>
              <w:t xml:space="preserve">Almacenamiento → Auditoría</w:t>
            </w:r>
          </w:p>
        </w:tc>
        <w:tc>
          <w:tcPr>
            <w:tcW w:w="0" w:type="auto"/>
          </w:tcPr>
          <w:p>
            <w:pPr>
              <w:spacing w:before="20" w:after="20"/>
            </w:pPr>
            <w:r>
              <w:t xml:space="preserve">Que el evento de intento llegue al registro en menos de 1 s</w:t>
            </w:r>
          </w:p>
        </w:tc>
        <w:tc>
          <w:tcPr>
            <w:tcW w:w="0" w:type="auto"/>
          </w:tcPr>
          <w:p>
            <w:pPr>
              <w:spacing w:before="20" w:after="20"/>
            </w:pPr>
            <w:r>
              <w:t xml:space="preserve">Notificaciones de evento de S3 · CloudTrail</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Resultado del intento de sobrescritura y borrado</w:t>
            </w:r>
          </w:p>
        </w:tc>
        <w:tc>
          <w:tcPr>
            <w:tcW w:w="0" w:type="auto"/>
          </w:tcPr>
          <w:p>
            <w:pPr>
              <w:spacing w:before="20" w:after="20"/>
            </w:pPr>
            <w:r>
              <w:t xml:space="preserve">Cliente administrativo</w:t>
            </w:r>
          </w:p>
        </w:tc>
        <w:tc>
          <w:tcPr>
            <w:tcW w:w="0" w:type="auto"/>
          </w:tcPr>
          <w:p>
            <w:pPr>
              <w:spacing w:before="20" w:after="20"/>
            </w:pPr>
            <w:r>
              <w:t xml:space="preserve">Rechazado por la plataforma</w:t>
            </w:r>
          </w:p>
        </w:tc>
      </w:tr>
      <w:tr>
        <w:tc>
          <w:tcPr>
            <w:tcW w:w="0" w:type="auto"/>
          </w:tcPr>
          <w:p>
            <w:pPr>
              <w:spacing w:before="20" w:after="20"/>
            </w:pPr>
            <w:r>
              <w:t xml:space="preserve">Latencia entre el intento y la entrada de auditoría</w:t>
            </w:r>
          </w:p>
        </w:tc>
        <w:tc>
          <w:tcPr>
            <w:tcW w:w="0" w:type="auto"/>
          </w:tcPr>
          <w:p>
            <w:pPr>
              <w:spacing w:before="20" w:after="20"/>
            </w:pPr>
            <w:r>
              <w:t xml:space="preserve">Marcas de tiempo comparadas</w:t>
            </w:r>
          </w:p>
        </w:tc>
        <w:tc>
          <w:tcPr>
            <w:tcW w:w="0" w:type="auto"/>
          </w:tcPr>
          <w:p>
            <w:pPr>
              <w:spacing w:before="20" w:after="20"/>
            </w:pPr>
            <w:r>
              <w:t xml:space="preserve">&lt; 1 s</w:t>
            </w:r>
          </w:p>
        </w:tc>
      </w:tr>
      <w:tr>
        <w:tc>
          <w:tcPr>
            <w:tcW w:w="0" w:type="auto"/>
          </w:tcPr>
          <w:p>
            <w:pPr>
              <w:spacing w:before="20" w:after="20"/>
            </w:pPr>
            <w:r>
              <w:t xml:space="preserve">Detección de alteración por verificación de firma</w:t>
            </w:r>
          </w:p>
        </w:tc>
        <w:tc>
          <w:tcPr>
            <w:tcW w:w="0" w:type="auto"/>
          </w:tcPr>
          <w:p>
            <w:pPr>
              <w:spacing w:before="20" w:after="20"/>
            </w:pPr>
            <w:r>
              <w:t xml:space="preserve">Prueba con documento modificado fuera de banda</w:t>
            </w:r>
          </w:p>
        </w:tc>
        <w:tc>
          <w:tcPr>
            <w:tcW w:w="0" w:type="auto"/>
          </w:tcPr>
          <w:p>
            <w:pPr>
              <w:spacing w:before="20" w:after="20"/>
            </w:pPr>
            <w:r>
              <w:t xml:space="preserve">100% detectado</w:t>
            </w:r>
          </w:p>
        </w:tc>
      </w:tr>
      <w:tr>
        <w:tc>
          <w:tcPr>
            <w:tcW w:w="0" w:type="auto"/>
          </w:tcPr>
          <w:p>
            <w:pPr>
              <w:spacing w:before="20" w:after="20"/>
            </w:pPr>
            <w:r>
              <w:t xml:space="preserve">Inmutabilidad del propio registro de auditoría</w:t>
            </w:r>
          </w:p>
        </w:tc>
        <w:tc>
          <w:tcPr>
            <w:tcW w:w="0" w:type="auto"/>
          </w:tcPr>
          <w:p>
            <w:pPr>
              <w:spacing w:before="20" w:after="20"/>
            </w:pPr>
            <w:r>
              <w:t xml:space="preserve">Intento de alteración del registro</w:t>
            </w:r>
          </w:p>
        </w:tc>
        <w:tc>
          <w:tcPr>
            <w:tcW w:w="0" w:type="auto"/>
          </w:tcPr>
          <w:p>
            <w:pPr>
              <w:spacing w:before="20" w:after="20"/>
            </w:pPr>
            <w:r>
              <w:t xml:space="preserve">Rechazado</w:t>
            </w:r>
          </w:p>
        </w:tc>
      </w:tr>
    </w:tbl>
    <w:p>
      <w:r>
        <w:t/>
      </w:r>
    </w:p>
    <w:p>
      <w:r>
        <w:rPr>
          <w:b/>
        </w:rPr>
        <w:t xml:space="preserve">Criterio de refutación.</w:t>
      </w:r>
      <w:r>
        <w:t xml:space="preserve"> Si el registro de auditoría tarda más de 1 segundo, la ruta es demasiado lenta y debe pasar a un camino sincrónico. Si la sobrescritura tiene éxito, la configuración de retención está mal aplicada.</w:t>
      </w:r>
    </w:p>
    <w:p>
      <w:r>
        <w:rPr>
          <w:b/>
        </w:rPr>
        <w:t xml:space="preserve">Decisión alternativa ante resultado adverso.</w:t>
      </w:r>
      <w:r>
        <w:t xml:space="preserve"> Se traslada el registro de auditoría del camino asíncrono al sincrónico dentro de la transacción de escritura, aceptando el costo en latencia de emisión a cambio de garantizar el umbral de detección.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requiere credenciales administrativas reales para comprobar que ni siquiera ellas pueden alterar el documento; simularlo con permisos restringidos no probaría nada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w:t>
            </w:r>
          </w:p>
        </w:tc>
      </w:tr>
      <w:tr>
        <w:tc>
          <w:tcPr>
            <w:tcW w:w="0" w:type="auto"/>
          </w:tcPr>
          <w:p>
            <w:pPr>
              <w:spacing w:before="20" w:after="20"/>
            </w:pPr>
            <w:r>
              <w:t xml:space="preserve">Almacenamiento</w:t>
            </w:r>
          </w:p>
        </w:tc>
        <w:tc>
          <w:tcPr>
            <w:tcW w:w="0" w:type="auto"/>
          </w:tcPr>
          <w:p>
            <w:pPr>
              <w:spacing w:before="20" w:after="20"/>
            </w:pPr>
            <w:r>
              <w:t xml:space="preserve">Amazon S3 con Object Lock · PostgreSQL 15</w:t>
            </w:r>
          </w:p>
        </w:tc>
      </w:tr>
      <w:tr>
        <w:tc>
          <w:tcPr>
            <w:tcW w:w="0" w:type="auto"/>
          </w:tcPr>
          <w:p>
            <w:pPr>
              <w:spacing w:before="20" w:after="20"/>
            </w:pPr>
            <w:r>
              <w:t xml:space="preserve">Librerías</w:t>
            </w:r>
          </w:p>
        </w:tc>
        <w:tc>
          <w:tcPr>
            <w:tcW w:w="0" w:type="auto"/>
          </w:tcPr>
          <w:p>
            <w:pPr>
              <w:spacing w:before="20" w:after="20"/>
            </w:pPr>
            <w:r>
              <w:t xml:space="preserve">boto3 · cryptography · psycopg</w:t>
            </w:r>
          </w:p>
        </w:tc>
      </w:tr>
      <w:tr>
        <w:tc>
          <w:tcPr>
            <w:tcW w:w="0" w:type="auto"/>
          </w:tcPr>
          <w:p>
            <w:pPr>
              <w:spacing w:before="20" w:after="20"/>
            </w:pPr>
            <w:r>
              <w:t xml:space="preserve">Herramientas de análisis</w:t>
            </w:r>
          </w:p>
        </w:tc>
        <w:tc>
          <w:tcPr>
            <w:tcW w:w="0" w:type="auto"/>
          </w:tcPr>
          <w:p>
            <w:pPr>
              <w:spacing w:before="20" w:after="20"/>
            </w:pPr>
            <w:r>
              <w:t xml:space="preserve">AWS CLI · CloudTrail · CloudWatch · verificación de resúmenes SHA-256</w:t>
            </w:r>
          </w:p>
        </w:tc>
      </w:tr>
    </w:tbl>
    <w:p>
      <w:r>
        <w:t/>
      </w:r>
    </w:p>
    <w:p>
      <w:pPr>
        <w:pStyle w:val="Quote"/>
      </w:pPr>
      <w:r>
        <w:rPr>
          <w:b/>
        </w:rPr>
        <w:t xml:space="preserve">Precisión respecto de versiones anteriores.</w:t>
      </w:r>
      <w:r>
        <w:t xml:space="preserve"> El registro de auditoría </w:t>
      </w:r>
      <w:r>
        <w:rPr>
          <w:b/>
        </w:rPr>
        <w:t xml:space="preserve">no</w:t>
      </w:r>
      <w:r>
        <w:t xml:space="preserve"> puede vivir solo en CloudWatch: CloudWatch es una plataforma de observabilidad, no un almacenamiento inmutable, y el ASR-4.2 exige que el registro sea inalterable durante 5 años por regulación. El almacén de auditoría es S3 con Object Lock; CloudWatch se usa para la observabilidad y la alerta.</w:t>
      </w:r>
    </w:p>
    <w:p>
      <w:pPr>
        <w:pBdr>
          <w:bottom w:val="single" w:sz="6" w:space="1" w:color="D0D0D0"/>
        </w:pBdr>
      </w:pPr>
    </w:p>
    <w:p>
      <w:pPr>
        <w:pStyle w:val="Heading3"/>
      </w:pPr>
      <w:r>
        <w:t xml:space="preserve">5.11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5.12 Distribución de actividades por integrante</w:t>
      </w:r>
    </w:p>
    <w:p>
      <w:r>
        <w:t xml:space="preserve">Reparto equitativo de las 42 horas del Sprint 1 de diseño, que agrupa los cuatro experimentos de incertidumbre alta.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 ejecutar la verificación de TLS y la búsqueda de datos cebo</w:t>
            </w:r>
          </w:p>
        </w:tc>
        <w:tc>
          <w:tcPr>
            <w:tcW w:w="0" w:type="auto"/>
          </w:tcPr>
          <w:p>
            <w:pPr>
              <w:spacing w:before="20" w:after="20"/>
            </w:pPr>
            <w:r>
              <w:t xml:space="preserve">01 · 02 · 07</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01 · 04</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configurar los conectores con sus depósitos y tiempos de espera</w:t>
            </w:r>
          </w:p>
        </w:tc>
        <w:tc>
          <w:tcPr>
            <w:tcW w:w="0" w:type="auto"/>
          </w:tcPr>
          <w:p>
            <w:pPr>
              <w:spacing w:before="20" w:after="20"/>
            </w:pPr>
            <w:r>
              <w:t xml:space="preserve">01 · 02 · 07</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01 · 02 · 04</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 El reparto de los cuatro experimentos restantes se define al programarlos.</w:t>
      </w:r>
    </w:p>
    <w:p>
      <w:pPr>
        <w:pStyle w:val="Heading3"/>
      </w:pPr>
      <w:r>
        <w:t xml:space="preserve">5.13 Resumen del programa de experimentación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ASR-1.2</w:t>
            </w:r>
          </w:p>
        </w:tc>
        <w:tc>
          <w:tcPr>
            <w:tcW w:w="0" w:type="auto"/>
          </w:tcPr>
          <w:p>
            <w:pPr>
              <w:spacing w:before="20" w:after="20"/>
            </w:pPr>
            <w:r>
              <w:t xml:space="preserve">SOL-37</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EXP-04 Caída del caché</w:t>
            </w:r>
          </w:p>
        </w:tc>
        <w:tc>
          <w:tcPr>
            <w:tcW w:w="0" w:type="auto"/>
          </w:tcPr>
          <w:p>
            <w:pPr>
              <w:spacing w:before="20" w:after="20"/>
            </w:pPr>
            <w:r>
              <w:t xml:space="preserve">ASR-3.1</w:t>
            </w:r>
          </w:p>
        </w:tc>
        <w:tc>
          <w:tcPr>
            <w:tcW w:w="0" w:type="auto"/>
          </w:tcPr>
          <w:p>
            <w:pPr>
              <w:spacing w:before="20" w:after="20"/>
            </w:pPr>
            <w:r>
              <w:t xml:space="preserve">SOL-29</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EXP-07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EXP-03 Modificabilidad</w:t>
            </w:r>
          </w:p>
        </w:tc>
        <w:tc>
          <w:tcPr>
            <w:tcW w:w="0" w:type="auto"/>
          </w:tcPr>
          <w:p>
            <w:pPr>
              <w:spacing w:before="20" w:after="20"/>
            </w:pPr>
            <w:r>
              <w:t xml:space="preserve">ASR-2.1 · ASR-2.2</w:t>
            </w:r>
          </w:p>
        </w:tc>
        <w:tc>
          <w:tcPr>
            <w:tcW w:w="0" w:type="auto"/>
          </w:tcPr>
          <w:p>
            <w:pPr>
              <w:spacing w:before="20" w:after="20"/>
            </w:pPr>
            <w:r>
              <w:t xml:space="preserve">SOL-20 · SOL-21</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EXP-05 Pérdida de zona</w:t>
            </w:r>
          </w:p>
        </w:tc>
        <w:tc>
          <w:tcPr>
            <w:tcW w:w="0" w:type="auto"/>
          </w:tcPr>
          <w:p>
            <w:pPr>
              <w:spacing w:before="20" w:after="20"/>
            </w:pPr>
            <w:r>
              <w:t xml:space="preserve">ASR-3.2</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12 h</w:t>
            </w:r>
          </w:p>
        </w:tc>
        <w:tc>
          <w:tcPr>
            <w:tcW w:w="0" w:type="auto"/>
          </w:tcPr>
          <w:p>
            <w:pPr>
              <w:spacing w:before="20" w:after="20"/>
            </w:pPr>
            <w:r>
              <w:t xml:space="preserve">Programado</w:t>
            </w:r>
          </w:p>
        </w:tc>
      </w:tr>
      <w:tr>
        <w:tc>
          <w:tcPr>
            <w:tcW w:w="0" w:type="auto"/>
          </w:tcPr>
          <w:p>
            <w:pPr>
              <w:spacing w:before="20" w:after="20"/>
            </w:pPr>
            <w:r>
              <w:t xml:space="preserve">EXP-06 Continuidad offline</w:t>
            </w:r>
          </w:p>
        </w:tc>
        <w:tc>
          <w:tcPr>
            <w:tcW w:w="0" w:type="auto"/>
          </w:tcPr>
          <w:p>
            <w:pPr>
              <w:spacing w:before="20" w:after="20"/>
            </w:pPr>
            <w:r>
              <w:t xml:space="preserve">ASR-3.3</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EXP-08 Integridad de pólizas</w:t>
            </w:r>
          </w:p>
        </w:tc>
        <w:tc>
          <w:tcPr>
            <w:tcW w:w="0" w:type="auto"/>
          </w:tcPr>
          <w:p>
            <w:pPr>
              <w:spacing w:before="20" w:after="20"/>
            </w:pPr>
            <w:r>
              <w:t xml:space="preserve">ASR-4.2</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8 h</w:t>
            </w:r>
          </w:p>
        </w:tc>
        <w:tc>
          <w:tcPr>
            <w:tcW w:w="0" w:type="auto"/>
          </w:tcPr>
          <w:p>
            <w:pPr>
              <w:spacing w:before="20" w:after="20"/>
            </w:pPr>
            <w:r>
              <w:t xml:space="preserve">Programado</w:t>
            </w:r>
          </w:p>
        </w:tc>
      </w:tr>
      <w:tr>
        <w:tc>
          <w:tcPr>
            <w:tcW w:w="0" w:type="auto"/>
          </w:tcPr>
          <w:p>
            <w:pPr>
              <w:spacing w:before="20" w:after="20"/>
            </w:pPr>
            <w:r>
              <w:rPr>
                <w:b/>
              </w:rPr>
              <w:t xml:space="preserve">Programa completo</w:t>
            </w:r>
          </w:p>
        </w:tc>
        <w:tc>
          <w:tcPr>
            <w:tcW w:w="0" w:type="auto"/>
          </w:tcPr>
          <w:p>
            <w:pPr>
              <w:spacing w:before="20" w:after="20"/>
            </w:pPr>
            <w:r>
              <w:rPr>
                <w:b/>
              </w:rPr>
              <w:t xml:space="preserve">9 ASR</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82 h</w:t>
            </w:r>
          </w:p>
        </w:tc>
        <w:tc>
          <w:tcPr>
            <w:tcW w:w="0" w:type="auto"/>
          </w:tcPr>
          <w:p>
            <w:pPr>
              <w:spacing w:before="20" w:after="20"/>
            </w:pPr>
            <w:r>
              <w:t/>
            </w:r>
          </w:p>
        </w:tc>
      </w:tr>
    </w:tbl>
    <w:p>
      <w:r>
        <w:t/>
      </w:r>
    </w:p>
    <w:p>
      <w:r>
        <w:t xml:space="preserve">Los ocho experimentos quedan </w:t>
      </w:r>
      <w:r>
        <w:rPr>
          <w:b/>
        </w:rPr>
        <w:t xml:space="preserve">diseñados</w:t>
      </w:r>
      <w:r>
        <w:t xml:space="preserve"> en esta entrega, que es lo que corresponde a la semana 4. Su </w:t>
      </w:r>
      <w:r>
        <w:rPr>
          <w:b/>
        </w:rPr>
        <w:t xml:space="preserve">ejecución</w:t>
      </w:r>
      <w:r>
        <w:t xml:space="preserve"> se escalona: las 42 horas del Sprint 1 caben exactamente en la capacidad comprometida para el Proyecto Final 1 y equivalen a 21 puntos de historia con la convención de 1 punto igual a 2 horas, contenidos dentro de los 42 puntos asignados a las historias de arquitectura. Los cuatro restantes se ejecutan según disponibilidad y en el Proyecto Final 2, por depender de infraestructura de nube con costo —EXP-05 y EXP-08— o por tener incertidumbre menor —EXP-03 y EXP-06—.</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FE-10.2,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p>
      <w:r>
        <w:rPr>
          <w:b/>
        </w:rPr>
        <w:t xml:space="preserve">Tablero Jira:</w:t>
      </w:r>
      <w:r>
        <w:t xml:space="preserve"> https://proyectointegradorgrupo2.atlassian.net/jira/software/projects/SOL/boards</w:t>
      </w:r>
    </w:p>
    <w:p>
      <w:r>
        <w:rPr>
          <w:b/>
        </w:rPr>
        <w:t xml:space="preserve">Backlog:</w:t>
      </w:r>
      <w:r>
        <w:t xml:space="preserve"> https://proyectointegradorgrupo2.atlassian.net/jira/software/projects/SOL/backlog</w:t>
      </w:r>
    </w:p>
    <w:p>
      <w:r>
        <w:rPr>
          <w:b/>
        </w:rPr>
        <w:t xml:space="preserve">Repositorio:</w:t>
      </w:r>
      <w:r>
        <w:t xml:space="preserve"> https://github.com/Migue765/proyecto-final-uniandes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