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Entregables</w:t>
      </w:r>
    </w:p>
    <w:p>
      <w:pPr>
        <w:jc w:val="center"/>
        <w:spacing w:before="0" w:after="60"/>
      </w:pPr>
      <w:r>
        <w:rPr>
          <w:sz w:val="30"/>
          <w:color w:val="2E6DA4"/>
        </w:rPr>
        <w:t xml:space="preserve">Índice de documentos, tableros y evidencias de la semana</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Entrega — Semana 4</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1. Qué contiene esta entrega</w:t>
      </w:r>
    </w:p>
    <w:p>
      <w:r>
        <w:t xml:space="preserve">Esta entrega tiene dos partes. La primera es el entregable propio de la semana 4. La segunda es la corrección del documento de historias de usuario de la semana 3, que obtuvo 10 de 40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Entregable</w:t>
            </w:r>
          </w:p>
        </w:tc>
        <w:tc>
          <w:tcPr>
            <w:tcW w:w="0" w:type="auto"/>
            <w:shd w:val="clear" w:fill="EDF2F7"/>
          </w:tcPr>
          <w:p>
            <w:pPr>
              <w:spacing w:before="20" w:after="20"/>
            </w:pPr>
            <w:r>
              <w:rPr>
                <w:b/>
              </w:rPr>
              <w:t xml:space="preserve">Documento</w:t>
            </w:r>
          </w:p>
        </w:tc>
        <w:tc>
          <w:tcPr>
            <w:tcW w:w="0" w:type="auto"/>
            <w:shd w:val="clear" w:fill="EDF2F7"/>
          </w:tcPr>
          <w:p>
            <w:pPr>
              <w:spacing w:before="20" w:after="20"/>
            </w:pPr>
            <w:r>
              <w:rPr>
                <w:b/>
              </w:rPr>
              <w:t xml:space="preserve">Rúbrica</w:t>
            </w:r>
          </w:p>
        </w:tc>
      </w:tr>
      <w:tr>
        <w:tc>
          <w:tcPr>
            <w:tcW w:w="0" w:type="auto"/>
          </w:tcPr>
          <w:p>
            <w:pPr>
              <w:spacing w:before="20" w:after="20"/>
            </w:pPr>
            <w:r>
              <w:t xml:space="preserve">1</w:t>
            </w:r>
          </w:p>
        </w:tc>
        <w:tc>
          <w:tcPr>
            <w:tcW w:w="0" w:type="auto"/>
          </w:tcPr>
          <w:p>
            <w:pPr>
              <w:spacing w:before="20" w:after="20"/>
            </w:pPr>
            <w:r>
              <w:t xml:space="preserve">Hoja de trabajo: modelos de arquitectura, patrones detallados y experimentos</w:t>
            </w:r>
          </w:p>
        </w:tc>
        <w:tc>
          <w:tcPr>
            <w:tcW w:w="0" w:type="auto"/>
          </w:tcPr>
          <w:p>
            <w:pPr>
              <w:spacing w:before="20" w:after="20"/>
            </w:pPr>
            <w:r>
              <w:rPr>
                <w:rFonts w:ascii="Consolas" w:hAnsi="Consolas"/>
                <w:sz w:val="18"/>
                <w:color w:val="B03A2E"/>
              </w:rPr>
              <w:t xml:space="preserve">hoja_trabajo_semana4.docx</w:t>
            </w:r>
          </w:p>
        </w:tc>
        <w:tc>
          <w:tcPr>
            <w:tcW w:w="0" w:type="auto"/>
          </w:tcPr>
          <w:p>
            <w:pPr>
              <w:spacing w:before="20" w:after="20"/>
            </w:pPr>
            <w:r>
              <w:t xml:space="preserve">70 pts</w:t>
            </w:r>
          </w:p>
        </w:tc>
      </w:tr>
      <w:tr>
        <w:tc>
          <w:tcPr>
            <w:tcW w:w="0" w:type="auto"/>
          </w:tcPr>
          <w:p>
            <w:pPr>
              <w:spacing w:before="20" w:after="20"/>
            </w:pPr>
            <w:r>
              <w:t xml:space="preserve">2</w:t>
            </w:r>
          </w:p>
        </w:tc>
        <w:tc>
          <w:tcPr>
            <w:tcW w:w="0" w:type="auto"/>
          </w:tcPr>
          <w:p>
            <w:pPr>
              <w:spacing w:before="20" w:after="20"/>
            </w:pPr>
            <w:r>
              <w:t xml:space="preserve">Refinamiento de la estrategia de pruebas</w:t>
            </w:r>
          </w:p>
        </w:tc>
        <w:tc>
          <w:tcPr>
            <w:tcW w:w="0" w:type="auto"/>
          </w:tcPr>
          <w:p>
            <w:pPr>
              <w:spacing w:before="20" w:after="20"/>
            </w:pPr>
            <w:r>
              <w:rPr>
                <w:rFonts w:ascii="Consolas" w:hAnsi="Consolas"/>
                <w:sz w:val="18"/>
                <w:color w:val="B03A2E"/>
              </w:rPr>
              <w:t xml:space="preserve">hoja_trabajo_semana4.docx</w:t>
            </w:r>
            <w:r>
              <w:t xml:space="preserve"> · §6</w:t>
            </w:r>
          </w:p>
        </w:tc>
        <w:tc>
          <w:tcPr>
            <w:tcW w:w="0" w:type="auto"/>
          </w:tcPr>
          <w:p>
            <w:pPr>
              <w:spacing w:before="20" w:after="20"/>
            </w:pPr>
            <w:r>
              <w:t xml:space="preserve">10 pts</w:t>
            </w:r>
          </w:p>
        </w:tc>
      </w:tr>
      <w:tr>
        <w:tc>
          <w:tcPr>
            <w:tcW w:w="0" w:type="auto"/>
          </w:tcPr>
          <w:p>
            <w:pPr>
              <w:spacing w:before="20" w:after="20"/>
            </w:pPr>
            <w:r>
              <w:t xml:space="preserve">3</w:t>
            </w:r>
          </w:p>
        </w:tc>
        <w:tc>
          <w:tcPr>
            <w:tcW w:w="0" w:type="auto"/>
          </w:tcPr>
          <w:p>
            <w:pPr>
              <w:spacing w:before="20" w:after="20"/>
            </w:pPr>
            <w:r>
              <w:t xml:space="preserve">Plan de trabajo y tablero</w:t>
            </w:r>
          </w:p>
        </w:tc>
        <w:tc>
          <w:tcPr>
            <w:tcW w:w="0" w:type="auto"/>
          </w:tcPr>
          <w:p>
            <w:pPr>
              <w:spacing w:before="20" w:after="20"/>
            </w:pPr>
            <w:r>
              <w:rPr>
                <w:rFonts w:ascii="Consolas" w:hAnsi="Consolas"/>
                <w:sz w:val="18"/>
                <w:color w:val="B03A2E"/>
              </w:rPr>
              <w:t xml:space="preserve">hoja_trabajo_semana4.docx</w:t>
            </w:r>
            <w:r>
              <w:t xml:space="preserve"> · §7 + tablero Jira</w:t>
            </w:r>
          </w:p>
        </w:tc>
        <w:tc>
          <w:tcPr>
            <w:tcW w:w="0" w:type="auto"/>
          </w:tcPr>
          <w:p>
            <w:pPr>
              <w:spacing w:before="20" w:after="20"/>
            </w:pPr>
            <w:r>
              <w:t xml:space="preserve">10 pts</w:t>
            </w:r>
          </w:p>
        </w:tc>
      </w:tr>
      <w:tr>
        <w:tc>
          <w:tcPr>
            <w:tcW w:w="0" w:type="auto"/>
          </w:tcPr>
          <w:p>
            <w:pPr>
              <w:spacing w:before="20" w:after="20"/>
            </w:pPr>
            <w:r>
              <w:t xml:space="preserve">4</w:t>
            </w:r>
          </w:p>
        </w:tc>
        <w:tc>
          <w:tcPr>
            <w:tcW w:w="0" w:type="auto"/>
          </w:tcPr>
          <w:p>
            <w:pPr>
              <w:spacing w:before="20" w:after="20"/>
            </w:pPr>
            <w:r>
              <w:t xml:space="preserve">Video con evidencias</w:t>
            </w:r>
          </w:p>
        </w:tc>
        <w:tc>
          <w:tcPr>
            <w:tcW w:w="0" w:type="auto"/>
          </w:tcPr>
          <w:p>
            <w:pPr>
              <w:spacing w:before="20" w:after="20"/>
            </w:pPr>
            <w:r>
              <w:t xml:space="preserve">Enlace en §4 de este documento</w:t>
            </w:r>
          </w:p>
        </w:tc>
        <w:tc>
          <w:tcPr>
            <w:tcW w:w="0" w:type="auto"/>
          </w:tcPr>
          <w:p>
            <w:pPr>
              <w:spacing w:before="20" w:after="20"/>
            </w:pPr>
            <w:r>
              <w:t xml:space="preserve">10 pts</w:t>
            </w:r>
          </w:p>
        </w:tc>
      </w:tr>
      <w:tr>
        <w:tc>
          <w:tcPr>
            <w:tcW w:w="0" w:type="auto"/>
          </w:tcPr>
          <w:p>
            <w:pPr>
              <w:spacing w:before="20" w:after="20"/>
            </w:pPr>
            <w:r>
              <w:t xml:space="preserve">—</w:t>
            </w:r>
          </w:p>
        </w:tc>
        <w:tc>
          <w:tcPr>
            <w:tcW w:w="0" w:type="auto"/>
          </w:tcPr>
          <w:p>
            <w:pPr>
              <w:spacing w:before="20" w:after="20"/>
            </w:pPr>
            <w:r>
              <w:rPr>
                <w:b/>
              </w:rPr>
              <w:t xml:space="preserve">Corrección semana 3:</w:t>
            </w:r>
            <w:r>
              <w:t xml:space="preserve"> historias de usuario y capacidad del equipo</w:t>
            </w:r>
          </w:p>
        </w:tc>
        <w:tc>
          <w:tcPr>
            <w:tcW w:w="0" w:type="auto"/>
          </w:tcPr>
          <w:p>
            <w:pPr>
              <w:spacing w:before="20" w:after="20"/>
            </w:pPr>
            <w:r>
              <w:rPr>
                <w:rFonts w:ascii="Consolas" w:hAnsi="Consolas"/>
                <w:sz w:val="18"/>
                <w:color w:val="B03A2E"/>
              </w:rPr>
              <w:t xml:space="preserve">historias_de_usuario_v2.docx</w:t>
            </w:r>
          </w:p>
        </w:tc>
        <w:tc>
          <w:tcPr>
            <w:tcW w:w="0" w:type="auto"/>
          </w:tcPr>
          <w:p>
            <w:pPr>
              <w:spacing w:before="20" w:after="20"/>
            </w:pPr>
            <w:r>
              <w:rPr>
                <w:i/>
              </w:rPr>
              <w:t xml:space="preserve">Reentrega</w:t>
            </w:r>
          </w:p>
        </w:tc>
      </w:tr>
    </w:tbl>
    <w:p>
      <w:r>
        <w:t/>
      </w:r>
    </w:p>
    <w:p>
      <w:pPr>
        <w:pBdr>
          <w:bottom w:val="single" w:sz="6" w:space="1" w:color="D0D0D0"/>
        </w:pBdr>
      </w:pPr>
    </w:p>
    <w:p>
      <w:pPr>
        <w:pStyle w:val="Heading2"/>
      </w:pPr>
      <w:r>
        <w:t xml:space="preserve">2. Documentos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Documento</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Enlace</w:t>
            </w:r>
          </w:p>
        </w:tc>
      </w:tr>
      <w:tr>
        <w:tc>
          <w:tcPr>
            <w:tcW w:w="0" w:type="auto"/>
          </w:tcPr>
          <w:p>
            <w:pPr>
              <w:spacing w:before="20" w:after="20"/>
            </w:pPr>
            <w:r>
              <w:t xml:space="preserve">1</w:t>
            </w:r>
          </w:p>
        </w:tc>
        <w:tc>
          <w:tcPr>
            <w:tcW w:w="0" w:type="auto"/>
          </w:tcPr>
          <w:p>
            <w:pPr>
              <w:spacing w:before="20" w:after="20"/>
            </w:pPr>
            <w:r>
              <w:t xml:space="preserve">hoja_trabajo_semana4.docx</w:t>
            </w:r>
          </w:p>
        </w:tc>
        <w:tc>
          <w:tcPr>
            <w:tcW w:w="0" w:type="auto"/>
          </w:tcPr>
          <w:p>
            <w:pPr>
              <w:spacing w:before="20" w:after="20"/>
            </w:pPr>
            <w:r>
              <w:t xml:space="preserve">Vista funcional, de despliegue y de información · 12 patrones con su razonamiento frente a cada ASR · 8 decisiones de arquitectura con alternativas descartadas · 4 experimentos con punto de sensibilidad, tácticas, microservicios, conectores y esfuerzo · refinamiento de la estrategia de pruebas · plan por sprint</w:t>
            </w:r>
          </w:p>
        </w:tc>
        <w:tc>
          <w:tcPr>
            <w:tcW w:w="0" w:type="auto"/>
          </w:tcPr>
          <w:p>
            <w:pPr>
              <w:spacing w:before="20" w:after="20"/>
            </w:pPr>
            <w:r>
              <w:rPr>
                <w:i/>
              </w:rPr>
              <w:t xml:space="preserve">(pegar enlace)</w:t>
            </w:r>
          </w:p>
        </w:tc>
      </w:tr>
      <w:tr>
        <w:tc>
          <w:tcPr>
            <w:tcW w:w="0" w:type="auto"/>
          </w:tcPr>
          <w:p>
            <w:pPr>
              <w:spacing w:before="20" w:after="20"/>
            </w:pPr>
            <w:r>
              <w:t xml:space="preserve">2</w:t>
            </w:r>
          </w:p>
        </w:tc>
        <w:tc>
          <w:tcPr>
            <w:tcW w:w="0" w:type="auto"/>
          </w:tcPr>
          <w:p>
            <w:pPr>
              <w:spacing w:before="20" w:after="20"/>
            </w:pPr>
            <w:r>
              <w:t xml:space="preserve">historias_de_usuario_v2.docx</w:t>
            </w:r>
          </w:p>
        </w:tc>
        <w:tc>
          <w:tcPr>
            <w:tcW w:w="0" w:type="auto"/>
          </w:tcPr>
          <w:p>
            <w:pPr>
              <w:spacing w:before="20" w:after="20"/>
            </w:pPr>
            <w:r>
              <w:t xml:space="preserve">Backlog completo de 62 historias con criterios de aceptación · cálculo de capacidad del equipo paso a paso · priorización y corte de alcance entre Proyecto Final 1 y 2 · trazabilidad entre ASR e historias</w:t>
            </w:r>
          </w:p>
        </w:tc>
        <w:tc>
          <w:tcPr>
            <w:tcW w:w="0" w:type="auto"/>
          </w:tcPr>
          <w:p>
            <w:pPr>
              <w:spacing w:before="20" w:after="20"/>
            </w:pPr>
            <w:r>
              <w:rPr>
                <w:i/>
              </w:rPr>
              <w:t xml:space="preserve">(pegar enlace)</w:t>
            </w:r>
          </w:p>
        </w:tc>
      </w:tr>
    </w:tbl>
    <w:p>
      <w:r>
        <w:t/>
      </w:r>
    </w:p>
    <w:p>
      <w:r>
        <w:t xml:space="preserve">Ambos documentos están además versionados en el repositorio, en </w:t>
      </w:r>
      <w:r>
        <w:rPr>
          <w:rFonts w:ascii="Consolas" w:hAnsi="Consolas"/>
          <w:sz w:val="18"/>
          <w:color w:val="B03A2E"/>
        </w:rPr>
        <w:t xml:space="preserve">documentos/semana-4/</w:t>
      </w:r>
      <w:r>
        <w:t xml:space="preserve">, junto con las fuentes de los diagramas en formato </w:t>
      </w:r>
      <w:r>
        <w:rPr>
          <w:rFonts w:ascii="Consolas" w:hAnsi="Consolas"/>
          <w:sz w:val="18"/>
          <w:color w:val="B03A2E"/>
        </w:rPr>
        <w:t xml:space="preserve">.dot</w:t>
      </w:r>
      <w:r>
        <w:t xml:space="preserve">, que se regeneran con un solo comando.</w:t>
      </w:r>
    </w:p>
    <w:p>
      <w:pPr>
        <w:pBdr>
          <w:bottom w:val="single" w:sz="6" w:space="1" w:color="D0D0D0"/>
        </w:pBdr>
      </w:pPr>
    </w:p>
    <w:p>
      <w:pPr>
        <w:pStyle w:val="Heading2"/>
      </w:pPr>
      <w:r>
        <w:t xml:space="preserve">3. Tableros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 de alcance</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diagramas y registro de cambios de la entrega</w:t>
            </w:r>
          </w:p>
        </w:tc>
        <w:tc>
          <w:tcPr>
            <w:tcW w:w="0" w:type="auto"/>
          </w:tcPr>
          <w:p>
            <w:pPr>
              <w:spacing w:before="20" w:after="20"/>
            </w:pPr>
            <w:r>
              <w:t xml:space="preserve">https://github.com/Migue765/proyecto-final-uniandes</w:t>
            </w:r>
          </w:p>
        </w:tc>
      </w:tr>
    </w:tbl>
    <w:p>
      <w:r>
        <w:t/>
      </w:r>
    </w:p>
    <w:p>
      <w:r>
        <w:rPr>
          <w:b/>
        </w:rPr>
        <w:t xml:space="preserve">Cómo leer el tablero.</w:t>
      </w:r>
      <w:r>
        <w:t xml:space="preserve"> Las historias nuevas llevan etiquetas que permiten filtrarlas: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bl>
    <w:p>
      <w:r>
        <w:t/>
      </w:r>
    </w:p>
    <w:p>
      <w:r>
        <w:t xml:space="preserve">Para ver únicamente el alcance comprometido de este proyecto, filtrar por </w:t>
      </w:r>
      <w:r>
        <w:rPr>
          <w:rFonts w:ascii="Consolas" w:hAnsi="Consolas"/>
          <w:sz w:val="18"/>
          <w:color w:val="B03A2E"/>
        </w:rPr>
        <w:t xml:space="preserve">proyecto-1</w:t>
      </w:r>
      <w:r>
        <w:t xml:space="preserve">.</w:t>
      </w:r>
    </w:p>
    <w:p>
      <w:pPr>
        <w:pBdr>
          <w:bottom w:val="single" w:sz="6" w:space="1" w:color="D0D0D0"/>
        </w:pBdr>
      </w:pPr>
    </w:p>
    <w:p>
      <w:pPr>
        <w:pStyle w:val="Heading2"/>
      </w:pPr>
      <w:r>
        <w:t xml:space="preserve">4. Video de sustentación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Correcciones de la semana 3, modelos de arquitectura, patrones, propuesta de experimentos y tablero</w:t>
            </w:r>
          </w:p>
        </w:tc>
        <w:tc>
          <w:tcPr>
            <w:tcW w:w="0" w:type="auto"/>
          </w:tcPr>
          <w:p>
            <w:pPr>
              <w:spacing w:before="20" w:after="20"/>
            </w:pPr>
            <w:r>
              <w:t xml:space="preserve">8 min</w:t>
            </w:r>
          </w:p>
        </w:tc>
        <w:tc>
          <w:tcPr>
            <w:tcW w:w="0" w:type="auto"/>
          </w:tcPr>
          <w:p>
            <w:pPr>
              <w:spacing w:before="20" w:after="20"/>
            </w:pPr>
            <w:r>
              <w:rPr>
                <w:i/>
              </w:rPr>
              <w:t xml:space="preserve">(pegar enlace)</w:t>
            </w:r>
          </w:p>
        </w:tc>
      </w:tr>
    </w:tbl>
    <w:p>
      <w:r>
        <w:t/>
      </w:r>
    </w:p>
    <w:p>
      <w:r>
        <w:t xml:space="preserve">El guion completo, con el reparto por presentador y la lista de verificación previa a grabar, está en </w:t>
      </w:r>
      <w:r>
        <w:rPr>
          <w:rFonts w:ascii="Consolas" w:hAnsi="Consolas"/>
          <w:sz w:val="18"/>
          <w:color w:val="B03A2E"/>
        </w:rPr>
        <w:t xml:space="preserve">guion_video_semana4.md</w:t>
      </w:r>
      <w:r>
        <w:t xml:space="preserve">.</w:t>
      </w:r>
    </w:p>
    <w:p>
      <w:pPr>
        <w:pBdr>
          <w:bottom w:val="single" w:sz="6" w:space="1" w:color="D0D0D0"/>
        </w:pBdr>
      </w:pPr>
    </w:p>
    <w:p>
      <w:pPr>
        <w:pStyle w:val="Heading2"/>
      </w:pPr>
      <w:r>
        <w:t xml:space="preserve">5.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62 historias. La revisión del tablero mostró que ocho de las veinte estaban tipadas en Jira como Función y no como Historia, sin ninguna historia hija: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dentro del entregable,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229 SP, reflejando alcance que estaba oculto dentro de historias demasiado gruesas. Frente a una capacidad de 76 SP, se declara explícitamente qué entra en el Proyecto Final 1 y qué se difiere al Proyecto Final 2</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r>
        <w:t xml:space="preserve">Se detectaron además dos cosas por cuenta propia al hacer la corrección: la autenticación web era un recorrido crítico sin ninguna historia asociada, y se agregó como épica y función nuevas; y las historias no eran legibles sin abrir Jira, por lo que ahora cada una aparece completa dentro del documento.</w:t>
      </w:r>
    </w:p>
    <w:p>
      <w:pPr>
        <w:pBdr>
          <w:bottom w:val="single" w:sz="6" w:space="1" w:color="D0D0D0"/>
        </w:pBdr>
      </w:pPr>
    </w:p>
    <w:p>
      <w:pPr>
        <w:pStyle w:val="Heading2"/>
      </w:pPr>
      <w:r>
        <w:t xml:space="preserve">6. Pendientes antes de enviar</w:t>
      </w:r>
    </w:p>
    <w:p>
      <w:pPr>
        <w:pStyle w:val="ListBullet"/>
        <w:numPr>
          <w:ilvl w:val="0"/>
          <w:numId w:val="1"/>
        </w:numPr>
      </w:pPr>
      <w:r>
        <w:t xml:space="preserve">[ ] Publicar los dos documentos y pegar sus enlaces en la tabla de §2</w:t>
      </w:r>
    </w:p>
    <w:p>
      <w:pPr>
        <w:pStyle w:val="ListBullet"/>
        <w:numPr>
          <w:ilvl w:val="0"/>
          <w:numId w:val="1"/>
        </w:numPr>
      </w:pPr>
      <w:r>
        <w:t xml:space="preserve">[ ] Grabar el video siguiendo el guion y pegar su enlace en §4</w:t>
      </w:r>
    </w:p>
    <w:p>
      <w:pPr>
        <w:pStyle w:val="ListBullet"/>
        <w:numPr>
          <w:ilvl w:val="0"/>
          <w:numId w:val="1"/>
        </w:numPr>
      </w:pPr>
      <w:r>
        <w:t xml:space="preserve">[ ] Verificar que el tablero de Jira se vea con las 62 historias antes de grabar el bloque del video que lo muestra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