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0" w:after="80"/>
      </w:pPr>
      <w:r>
        <w:rPr>
          <w:sz w:val="20"/>
          <w:color w:val="000000"/>
        </w:rPr>
        <w:t xml:space="preserve"/>
      </w:r>
    </w:p>
    <w:p>
      <w:pPr>
        <w:jc w:val="center"/>
        <w:spacing w:before="0" w:after="60"/>
      </w:pPr>
      <w:r>
        <w:rPr>
          <w:b/>
          <w:sz w:val="30"/>
          <w:color w:val="1A3A5C"/>
        </w:rPr>
        <w:t xml:space="preserve">Universidad de los Andes</w:t>
      </w:r>
    </w:p>
    <w:p>
      <w:pPr>
        <w:jc w:val="center"/>
        <w:spacing w:before="0" w:after="40"/>
      </w:pPr>
      <w:r>
        <w:rPr>
          <w:sz w:val="19"/>
          <w:color w:val="44607A"/>
        </w:rPr>
        <w:t xml:space="preserve">Facultad de Ingeniería · Departamento de Ingeniería de Sistemas y Computación</w:t>
      </w:r>
    </w:p>
    <w:p>
      <w:pPr>
        <w:jc w:val="center"/>
        <w:spacing w:before="0" w:after="40"/>
      </w:pPr>
      <w:r>
        <w:rPr>
          <w:b/>
          <w:sz w:val="21"/>
          <w:color w:val="44607A"/>
        </w:rPr>
        <w:t xml:space="preserve">Maestría en Ingeniería de Software</w:t>
      </w:r>
    </w:p>
    <w:p>
      <w:pPr>
        <w:jc w:val="center"/>
        <w:spacing w:before="0" w:after="40"/>
      </w:pPr>
      <w:r>
        <w:rPr>
          <w:sz w:val="19"/>
          <w:color w:val="44607A"/>
        </w:rPr>
        <w:t xml:space="preserve">MISW4501 — Proyecto Final</w:t>
      </w:r>
    </w:p>
    <w:p>
      <w:pPr>
        <w:jc w:val="center"/>
        <w:spacing w:before="360" w:after="360"/>
        <w:pBdr>
          <w:bottom w:val="single" w:sz="12" w:space="1" w:color="9CC3E5"/>
        </w:pBdr>
      </w:pPr>
    </w:p>
    <w:p>
      <w:pPr>
        <w:jc w:val="center"/>
        <w:spacing w:before="0" w:after="100"/>
      </w:pPr>
      <w:r>
        <w:rPr>
          <w:b/>
          <w:sz w:val="52"/>
          <w:color w:val="1A3A5C"/>
        </w:rPr>
        <w:t xml:space="preserve">Historias de Usuario</w:t>
      </w:r>
    </w:p>
    <w:p>
      <w:pPr>
        <w:jc w:val="center"/>
        <w:spacing w:before="0" w:after="60"/>
      </w:pPr>
      <w:r>
        <w:rPr>
          <w:sz w:val="30"/>
          <w:color w:val="2E6DA4"/>
        </w:rPr>
        <w:t xml:space="preserve">Backlog completo, capacidad del equipo y alcance del proyecto</w:t>
      </w:r>
    </w:p>
    <w:p>
      <w:pPr>
        <w:jc w:val="center"/>
        <w:spacing w:before="0" w:after="40"/>
      </w:pPr>
      <w:r>
        <w:rPr>
          <w:sz w:val="24"/>
          <w:color w:val="555555"/>
        </w:rPr>
        <w:t xml:space="preserve">Proyecto Solventa — Aseguradora digital sobre Finanzas Abiertas</w:t>
      </w:r>
    </w:p>
    <w:p>
      <w:pPr>
        <w:jc w:val="center"/>
        <w:spacing w:before="360" w:after="360"/>
        <w:pBdr>
          <w:bottom w:val="single" w:sz="12" w:space="1" w:color="9CC3E5"/>
        </w:pBdr>
      </w:pPr>
    </w:p>
    <w:p>
      <w:pPr>
        <w:jc w:val="center"/>
        <w:spacing w:before="0" w:after="40"/>
      </w:pPr>
      <w:r>
        <w:rPr>
          <w:b/>
          <w:sz w:val="26"/>
          <w:color w:val="1A3A5C"/>
        </w:rPr>
        <w:t xml:space="preserve">Corrección de la entrega — Semana 3  ·  Versión 2.0</w:t>
      </w:r>
    </w:p>
    <w:p>
      <w:pPr>
        <w:jc w:val="center"/>
        <w:spacing w:before="0" w:after="200"/>
      </w:pPr>
      <w:r>
        <w:rPr>
          <w:sz w:val="22"/>
          <w:color w:val="444444"/>
        </w:rPr>
        <w:t xml:space="preserve">Grupo 2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Integrante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Rol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Jazmin Natalia Córdoba Puerto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Gerente del proyecto — Usabilidad y entrega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Juan Esteban Mejía Izasa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 front, integración de APIs y pagos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Miguel Alejandro Gómez Alarcón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Arquitectura, Open Finance, KYC, rendimiento y seguridad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Angie Natalia Arandio Niño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Dominio, web back, móvil y pruebas unitarias</w:t>
            </w:r>
          </w:p>
        </w:tc>
      </w:tr>
    </w:tbl>
    <w:p>
      <w:r>
        <w:t/>
      </w:r>
    </w:p>
    <w:p>
      <w:pPr>
        <w:jc w:val="center"/>
        <w:spacing w:before="300" w:after="80"/>
      </w:pPr>
      <w:r>
        <w:rPr>
          <w:i/>
          <w:sz w:val="20"/>
          <w:color w:val="666666"/>
        </w:rPr>
        <w:t xml:space="preserve">Bogotá D.C. · 30 de agosto de 2026</w:t>
      </w:r>
    </w:p>
    <w:p>
      <w:r>
        <w:br w:type="page"/>
      </w:r>
    </w:p>
    <w:p>
      <w:pPr>
        <w:pStyle w:val="Heading2"/>
      </w:pPr>
      <w:r>
        <w:t xml:space="preserve">Control de versiones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Versión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Fecha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1.0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 ago 2026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Versión inicial — 9 ASRs + catálogo de 20 historias con enlace a Jira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1.1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20 ago 2026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Se agrega frase narrativa a los 9 ASRs; corrección de ASR-3.3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2.0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30 ago 2026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Corrección por retroalimentación de semana 3: backlog descompuesto a 62 historias, detalle completo de cada historia en este documento, y evidencia del cálculo de capacidad del equipo</w:t>
            </w:r>
          </w:p>
        </w:tc>
      </w:tr>
    </w:tbl>
    <w:p>
      <w:r>
        <w:t/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1. Correcciones aplicadas en esta versión</w:t>
      </w:r>
    </w:p>
    <w:p>
      <w:r>
        <w:t xml:space="preserve">Esta versión responde a la retroalimentación recibida sobre la entrega de la semana 3, donde el documento de historias de usuario obtuvo 10 de 40 puntos.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Observación recibida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Corrección aplicada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Sección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"Se esperaba la lista completa de historias de usuario del proyecto, no solo 20"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El backlog se descompuso de 20 a </w:t>
            </w:r>
            <w:r>
              <w:rPr>
                <w:b/>
              </w:rPr>
              <w:t xml:space="preserve">62 historias</w:t>
            </w:r>
            <w:r>
              <w:t xml:space="preserve">. Al revisar el tablero se confirmó el origen del problema: ocho de las veinte estaban tipadas en Jira como </w:t>
            </w:r>
            <w:r>
              <w:rPr>
                <w:b/>
              </w:rPr>
              <w:t xml:space="preserve">Función</w:t>
            </w:r>
            <w:r>
              <w:t xml:space="preserve">, no como Historia, y ninguna tenía historias hijas. Es decir, el backlog v1.1 tenía en realidad 12 historias y 8 funciones sin descomponer. Cada función se partió en historias verificables de forma independiente. Se identificó además una funcionalidad ausente del backlog —la autenticación web— y se agregó como épica y función propias.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§3, §4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"No se encontró la evidencia de cálculo de la capacidad del equipo"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Se incorpora el cálculo completo de capacidad </w:t>
            </w:r>
            <w:r>
              <w:rPr>
                <w:b/>
              </w:rPr>
              <w:t xml:space="preserve">dentro de este documento</w:t>
            </w:r>
            <w:r>
              <w:t xml:space="preserve">, con la aritmética paso a paso. En la versión 1.1 el cálculo existía en un archivo auxiliar del repositorio (</w:t>
            </w:r>
            <w:r>
              <w:rPr>
                <w:rFonts w:ascii="Consolas" w:hAnsi="Consolas"/>
                <w:sz w:val="18"/>
                <w:color w:val="B03A2E"/>
              </w:rPr>
              <w:t xml:space="preserve">documentos/semana-3/README.md</w:t>
            </w:r>
            <w:r>
              <w:t xml:space="preserve">) pero no en el entregable.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§2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"Esto se refleja cuando se muestra un backlog de 152 puntos de historia con sólo 20 HUs"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El promedio pasó de </w:t>
            </w:r>
            <w:r>
              <w:rPr>
                <w:b/>
              </w:rPr>
              <w:t xml:space="preserve">7,6 SP/historia</w:t>
            </w:r>
            <w:r>
              <w:t xml:space="preserve"> a </w:t>
            </w:r>
            <w:r>
              <w:rPr>
                <w:b/>
              </w:rPr>
              <w:t xml:space="preserve">3,7 SP/historia</w:t>
            </w:r>
            <w:r>
              <w:t xml:space="preserve">. Ninguna historia supera 8 SP; ninguna historia funcional supera 5 SP. Se re-estimó de abajo hacia arriba: el backlog total subió de 152 SP a </w:t>
            </w:r>
            <w:r>
              <w:rPr>
                <w:b/>
              </w:rPr>
              <w:t xml:space="preserve">229 SP</w:t>
            </w:r>
            <w:r>
              <w:t xml:space="preserve">, lo que refleja alcance que antes estaba oculto dentro de historias demasiado gruesas.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§3, §4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(Detectado por el equipo)</w:t>
            </w:r>
            <w:r>
              <w:t xml:space="preserve"> Las historias no eran legibles sin abrir Jira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Cada historia se presenta ahora completa en este documento: enunciado </w:t>
            </w:r>
            <w:r>
              <w:rPr>
                <w:i/>
              </w:rPr>
              <w:t xml:space="preserve">Como / Quiero / Para</w:t>
            </w:r>
            <w:r>
              <w:t xml:space="preserve">, criterios de aceptación, estimación, prioridad, canal y ASR relacionado.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§4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(Detectado por el equipo)</w:t>
            </w:r>
            <w:r>
              <w:t xml:space="preserve"> El backlog excedía la capacidad sin un plan de alcance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Se define explícitamente qué entra en el </w:t>
            </w:r>
            <w:r>
              <w:rPr>
                <w:b/>
              </w:rPr>
              <w:t xml:space="preserve">Proyecto Final 1</w:t>
            </w:r>
            <w:r>
              <w:t xml:space="preserve"> (76 SP) y qué se difiere al </w:t>
            </w:r>
            <w:r>
              <w:rPr>
                <w:b/>
              </w:rPr>
              <w:t xml:space="preserve">Proyecto Final 2</w:t>
            </w:r>
            <w:r>
              <w:t xml:space="preserve"> (153 SP), con el criterio de corte documentado.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§5</w:t>
            </w:r>
          </w:p>
        </w:tc>
      </w:tr>
    </w:tbl>
    <w:p>
      <w:r>
        <w:t/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2. Capacidad del equipo</w:t>
      </w:r>
    </w:p>
    <w:p>
      <w:pPr>
        <w:pStyle w:val="Heading3"/>
      </w:pPr>
      <w:r>
        <w:t xml:space="preserve">2.1 Datos base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Parámetro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Valor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Integrantes del equipo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 personas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Acta de constitución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Dedicación comprometida por persona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12 horas/semana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Acta de constitución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Duración total del proyecto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 semanas (3 ago – 27 sep 2026)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Cronograma del curso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Convención de estimación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 Story Point = 2 horas de trabajo efectivo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Definida por el equipo, semana 3</w:t>
            </w:r>
          </w:p>
        </w:tc>
      </w:tr>
    </w:tbl>
    <w:p>
      <w:r>
        <w:t/>
      </w:r>
    </w:p>
    <w:p>
      <w:pPr>
        <w:pStyle w:val="Heading3"/>
      </w:pPr>
      <w:r>
        <w:t xml:space="preserve">2.2 Cálculo paso a paso</w:t>
      </w:r>
    </w:p>
    <w:p>
      <w:r>
        <w:rPr>
          <w:b/>
        </w:rPr>
        <w:t xml:space="preserve">Paso 1 — Capacidad bruta semanal en horas</w:t>
      </w:r>
    </w:p>
    <w:p>
      <w:pPr>
        <w:pStyle w:val="Code"/>
      </w:pPr>
      <w:r>
        <w:t xml:space="preserve">4 personas  ×  12 horas/semana  =  48 horas/semana</w:t>
      </w:r>
    </w:p>
    <w:p>
      <w:r>
        <w:t/>
      </w:r>
    </w:p>
    <w:p>
      <w:r>
        <w:rPr>
          <w:b/>
        </w:rPr>
        <w:t xml:space="preserve">Paso 2 — Capacidad bruta semanal en story points</w:t>
      </w:r>
    </w:p>
    <w:p>
      <w:pPr>
        <w:pStyle w:val="Code"/>
      </w:pPr>
      <w:r>
        <w:t xml:space="preserve">48 horas/semana  ÷  2 horas/SP  =  24 SP/semana</w:t>
      </w:r>
    </w:p>
    <w:p>
      <w:r>
        <w:t/>
      </w:r>
    </w:p>
    <w:p>
      <w:r>
        <w:rPr>
          <w:b/>
        </w:rPr>
        <w:t xml:space="preserve">Paso 3 — Aplicar factor de carga real</w:t>
      </w:r>
    </w:p>
    <w:p>
      <w:r>
        <w:t xml:space="preserve">No todas las horas comprometidas son horas productivas de construcción. Se descuenta el tiempo dedicado a ceremonias, coordinación, revisión entre pares e imprevistos. El equipo adopta un </w:t>
      </w:r>
      <w:r>
        <w:rPr>
          <w:b/>
        </w:rPr>
        <w:t xml:space="preserve">factor de carga del 80%</w:t>
      </w:r>
      <w:r>
        <w:t xml:space="preserve">, valor conservador estándar para equipos que no han establecido todavía una velocidad histórica medida.</w:t>
      </w:r>
    </w:p>
    <w:p>
      <w:pPr>
        <w:pStyle w:val="Code"/>
      </w:pPr>
      <w:r>
        <w:t xml:space="preserve">24 SP/semana  ×  0,80  =  19,2  ≈  19 SP/semana</w:t>
      </w:r>
    </w:p>
    <w:p>
      <w:r>
        <w:t/>
      </w:r>
    </w:p>
    <w:p>
      <w:pPr>
        <w:pStyle w:val="Quote"/>
      </w:pPr>
      <w:r>
        <w:rPr>
          <w:b/>
        </w:rPr>
        <w:t xml:space="preserve">Velocidad efectiva del equipo: 19 SP por semana.</w:t>
      </w:r>
    </w:p>
    <w:p>
      <w:r>
        <w:rPr>
          <w:b/>
        </w:rPr>
        <w:t xml:space="preserve">Paso 4 — Capacidad total del Proyecto Final 1</w:t>
      </w:r>
    </w:p>
    <w:p>
      <w:pPr>
        <w:pStyle w:val="Code"/>
      </w:pPr>
      <w:r>
        <w:t xml:space="preserve">19 SP/semana  ×  8 semanas  =  152 SP</w:t>
      </w:r>
    </w:p>
    <w:p>
      <w:r>
        <w:t/>
      </w:r>
    </w:p>
    <w:p>
      <w:r>
        <w:rPr>
          <w:b/>
        </w:rPr>
        <w:t xml:space="preserve">Paso 5 — Capacidad realmente disponible para construcción</w:t>
      </w:r>
    </w:p>
    <w:p>
      <w:r>
        <w:t xml:space="preserve">Las semanas 1 a 4 se dedicaron a actividades de arquitectura y planeación (acta de constitución, EDT, visión de arquitectura, escenarios de calidad, estrategia de pruebas, diseño de experimentos), no a construir historias del backlog de producto. Esa capacidad ya está consumida.</w:t>
      </w:r>
    </w:p>
    <w:p>
      <w:pPr>
        <w:pStyle w:val="Code"/>
      </w:pPr>
      <w:r>
        <w:t xml:space="preserve">Capacidad total del proyecto          8 semanas × 19 SP  =  152 SP</w:t>
      </w:r>
    </w:p>
    <w:p>
      <w:pPr>
        <w:pStyle w:val="Code"/>
      </w:pPr>
      <w:r>
        <w:t xml:space="preserve">Consumida en semanas 1–4 (arquitectura)  4 semanas × 19 SP  =   76 SP</w:t>
      </w:r>
    </w:p>
    <w:p>
      <w:pPr>
        <w:pStyle w:val="Code"/>
      </w:pPr>
      <w: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"/>
      </w:pPr>
      <w:r>
        <w:t xml:space="preserve">Disponible para construcción (semanas 5–8)  4 semanas × 19 SP  =   76 SP</w:t>
      </w:r>
    </w:p>
    <w:p>
      <w:r>
        <w:t/>
      </w:r>
    </w:p>
    <w:p>
      <w:pPr>
        <w:pStyle w:val="Quote"/>
      </w:pPr>
      <w:r>
        <w:rPr>
          <w:b/>
        </w:rPr>
        <w:t xml:space="preserve">Capacidad disponible para construir historias: 76 SP.</w:t>
      </w:r>
    </w:p>
    <w:p>
      <w:pPr>
        <w:pStyle w:val="Heading3"/>
      </w:pPr>
      <w:r>
        <w:t xml:space="preserve">2.3 Distribución individual (semanas 5–8)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Integrante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Horas comprometidas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 equivalentes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Foco principal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Jazmin Córdoba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48 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Gerencia, usabilidad, entrega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Juan Mejía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48 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 front, integración API, pagos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Miguel Gómez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48 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Arquitectura, Open Finance, KYC, rendimiento, seguridad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Angie Arandio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48 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Dominio, web back, móvil, pruebas unitarias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 bruto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192 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96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 con factor de carga 80%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154 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76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</w:tr>
    </w:tbl>
    <w:p>
      <w:r>
        <w:t/>
      </w:r>
    </w:p>
    <w:p>
      <w:pPr>
        <w:pStyle w:val="Heading3"/>
      </w:pPr>
      <w:r>
        <w:t xml:space="preserve">2.4 Capacidad frente al backlog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Concepto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Story Points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Backlog total del producto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229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Capacidad disponible (semanas 5–8)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76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Diferencia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−153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>
      <w:r>
        <w:t/>
      </w:r>
    </w:p>
    <w:p>
      <w:r>
        <w:t xml:space="preserve">El backlog completo del producto </w:t>
      </w:r>
      <w:r>
        <w:rPr>
          <w:b/>
        </w:rPr>
        <w:t xml:space="preserve">triplica</w:t>
      </w:r>
      <w:r>
        <w:t xml:space="preserve"> la capacidad disponible del equipo para el Proyecto Final 1. Esto no es un error de estimación: es la consecuencia de que Solventa es un producto de plataforma completo y el Proyecto Final 1 cubre solamente una parte del ciclo. La respuesta correcta no es reducir estimaciones sino </w:t>
      </w:r>
      <w:r>
        <w:rPr>
          <w:b/>
        </w:rPr>
        <w:t xml:space="preserve">declarar el alcance explícitamente</w:t>
      </w:r>
      <w:r>
        <w:t xml:space="preserve">, lo que se hace en la sección §5.</w:t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3. Estructura del backlog</w:t>
      </w:r>
    </w:p>
    <w:p>
      <w:pPr>
        <w:pStyle w:val="Heading3"/>
      </w:pPr>
      <w:r>
        <w:t xml:space="preserve">3.1 Estructura jerárquica del backlog</w:t>
      </w:r>
    </w:p>
    <w:p>
      <w:r>
        <w:t xml:space="preserve">El tablero del proyecto usa cuatro niveles de jerarquía: </w:t>
      </w:r>
      <w:r>
        <w:rPr>
          <w:b/>
        </w:rPr>
        <w:t xml:space="preserve">Épica → Función → Historia → Subtarea</w:t>
      </w:r>
      <w:r>
        <w:t xml:space="preserve">. La revisión del tablero durante esta corrección reveló el origen preciso del hallazgo: las ocho funcionalidades web y móvil que se presentaron como historias de usuario en la semana 3 están tipadas en Jira como </w:t>
      </w:r>
      <w:r>
        <w:rPr>
          <w:b/>
        </w:rPr>
        <w:t xml:space="preserve">Función</w:t>
      </w:r>
      <w:r>
        <w:t xml:space="preserve">, no como Historia, y ninguna tenía historias hijas. El backlog v1.1 contenía en realidad 12 historias y 8 funciones sin descomponer.</w:t>
      </w:r>
    </w:p>
    <w:p>
      <w:r>
        <w:t xml:space="preserve">La corrección consiste en poblar el nivel que faltaba: 51 historias nuevas bajo las funciones existentes.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Épica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Función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EP-01</w:t>
            </w:r>
            <w:r>
              <w:t xml:space="preserve"> Gestión de seguros Web (SOL-1)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 Cotización de seguros (SOL-3)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FE-01.1 a FE-01.6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 Suscripción y emisión (SOL-4)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FE-02.1 a FE-02.6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FE-03 Administración de pólizas (SOL-5)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FE-03.1 a FE-03.5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EP-02</w:t>
            </w:r>
            <w:r>
              <w:t xml:space="preserve"> Gestión de siniestros Web (SOL-2)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FE-04 Gestión y seguimiento de siniestros (SOL-6)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FE-04.1 a FE-04.5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EP-03</w:t>
            </w:r>
            <w:r>
              <w:t xml:space="preserve"> Acceso y gestión de pólizas Móvil (SOL-7)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FE-05 Autenticación biométrica y KYC (SOL-10)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FE-05.1 a FE-05.6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FE-06 Billetera de pólizas (SOL-11)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FE-06.1 a FE-06.5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EP-04</w:t>
            </w:r>
            <w:r>
              <w:t xml:space="preserve"> Siniestros y asistencia Móvil (SOL-8)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FE-07 Notificaciones y asistencia (SOL-13)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FE-07.1 a FE-07.4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FE-08 Reporte de siniestros con evidencia (SOL-12)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FE-08.1 a FE-08.5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EP-05</w:t>
            </w:r>
            <w:r>
              <w:t xml:space="preserve"> Portal de Socios y Distribución (SOL-30)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FE-09 Portal de socios distribuidores (SOL-31)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FE-09.1 a FE-09.5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EP-06</w:t>
            </w:r>
            <w:r>
              <w:t xml:space="preserve"> Acceso y autenticación Web </w:t>
            </w:r>
            <w:r>
              <w:rPr>
                <w:i/>
              </w:rPr>
              <w:t xml:space="preserve">(nueva)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FE-10 Autenticación web </w:t>
            </w:r>
            <w:r>
              <w:rPr>
                <w:i/>
              </w:rPr>
              <w:t xml:space="preserve">(nueva)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FE-10.1 a FE-10.4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EP-ARQ-01</w:t>
            </w:r>
            <w:r>
              <w:t xml:space="preserve"> Multi-región e internacionalización (SOL-15)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HU-ARQ-01, HU-ARQ-02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EP-ARQ-02</w:t>
            </w:r>
            <w:r>
              <w:t xml:space="preserve"> Cumplimiento regulatorio y privacidad (SOL-16)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HU-ARQ-03, HU-ARQ-04, HU-ARQ-11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EP-ARQ-03</w:t>
            </w:r>
            <w:r>
              <w:t xml:space="preserve"> Contenedores y plataforma de datos (SOL-25)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HU-ARQ-05, HU-ARQ-08, HU-ARQ-10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EP-ARQ-04</w:t>
            </w:r>
            <w:r>
              <w:t xml:space="preserve"> Escalabilidad y desempeño (SOL-27)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HU-ARQ-06, HU-ARQ-07, HU-ARQ-09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10 funciones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62 historias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229</w:t>
            </w:r>
          </w:p>
        </w:tc>
      </w:tr>
    </w:tbl>
    <w:p>
      <w:r>
        <w:t/>
      </w:r>
    </w:p>
    <w:p>
      <w:r>
        <w:t xml:space="preserve">Las historias de arquitectura cuelgan directamente de su épica sin nivel de función intermedio, porque no representan funcionalidad de cara al usuario sino propiedades transversales del sistema.</w:t>
      </w:r>
    </w:p>
    <w:p>
      <w:pPr>
        <w:pStyle w:val="Heading3"/>
      </w:pPr>
      <w:r>
        <w:t xml:space="preserve">3.2 Comparación con la versión anterior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Métrica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v1.1 (semana 3)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v2.0 (esta versión)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Historias en el backlog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Story points totales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152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229 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Promedio por historia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7,6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3,7 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 más grande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 SP (solo arquitectura)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 funcional más grande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 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Historias &gt; 8 SP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 (ambas de arquitectura)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Funcionalidades sin cubrir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Autenticación 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>
      <w:r>
        <w:t/>
      </w:r>
    </w:p>
    <w:p>
      <w:pPr>
        <w:pStyle w:val="Heading3"/>
      </w:pPr>
      <w:r>
        <w:t xml:space="preserve">3.3 Criterio de descomposición aplicado</w:t>
      </w:r>
    </w:p>
    <w:p>
      <w:r>
        <w:t xml:space="preserve">Cada historia del backlog v2.0 cumple las siguientes reglas: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Verificable de forma independiente</w:t>
      </w:r>
      <w:r>
        <w:t xml:space="preserve"> — se puede probar y demostrar sin depender de que otra historia de la misma épica esté terminada.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Cabe en una semana de trabajo del equipo</w:t>
      </w:r>
      <w:r>
        <w:t xml:space="preserve"> — ninguna historia funcional supera 5 SP (10 horas).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Entrega valor observable</w:t>
      </w:r>
      <w:r>
        <w:t xml:space="preserve"> — el resultado es visible para un usuario o para un sistema consumidor, no es una tarea técnica interna.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Tiene criterios de aceptación explícitos</w:t>
      </w:r>
      <w:r>
        <w:t xml:space="preserve"> — mínimo tres, redactados de forma verificable.</w:t>
      </w:r>
    </w:p>
    <w:p>
      <w:r>
        <w:t xml:space="preserve">Las historias de arquitectura (HU-ARQ) se mantienen sin descomponer porque representan atributos de calidad transversales cuya validación es un experimento único e indivisible: partir "tolerancia a fallos" en fragmentos produciría piezas que no se pueden verificar por separado contra su escenario de calidad.</w:t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4. Backlog detallado</w:t>
      </w:r>
    </w:p>
    <w:p>
      <w:pPr>
        <w:pStyle w:val="Quote"/>
      </w:pPr>
      <w:r>
        <w:rPr>
          <w:b/>
        </w:rPr>
        <w:t xml:space="preserve">Convención de prioridad:</w:t>
      </w:r>
    </w:p>
    <w:p>
      <w:pPr>
        <w:pStyle w:val="Quote"/>
      </w:pPr>
      <w:r>
        <w:rPr>
          <w:b/>
        </w:rPr>
        <w:t xml:space="preserve">Alta</w:t>
      </w:r>
      <w:r>
        <w:t xml:space="preserve"> — entra en el alcance del Proyecto Final 1 (semanas 5–8).</w:t>
      </w:r>
    </w:p>
    <w:p>
      <w:pPr>
        <w:pStyle w:val="Quote"/>
      </w:pPr>
      <w:r>
        <w:rPr>
          <w:b/>
        </w:rPr>
        <w:t xml:space="preserve">Media</w:t>
      </w:r>
      <w:r>
        <w:t xml:space="preserve"> — se difiere al Proyecto Final 2; necesaria para el producto completo.</w:t>
      </w:r>
    </w:p>
    <w:p>
      <w:pPr>
        <w:pStyle w:val="Quote"/>
      </w:pPr>
      <w:r>
        <w:rPr>
          <w:b/>
        </w:rPr>
        <w:t xml:space="preserve">Baja</w:t>
      </w:r>
      <w:r>
        <w:t xml:space="preserve"> — se difiere al Proyecto Final 2; deseable, no crítica.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EP-01 · Gestión de seguros Web (SOL-1) — Funciones FE-01, FE-02 y FE-03 · 17 historias · 44 SP</w:t>
      </w:r>
    </w:p>
    <w:p>
      <w:r>
        <w:rPr>
          <w:i/>
        </w:rPr>
        <w:t xml:space="preserve">Deriva de la historia original SOL-3 (Cotización de seguros en tiempo real, 8 SP) y SOL-4 (Suscripción y emisión de póliza, 8 SP).</w:t>
      </w:r>
    </w:p>
    <w:p>
      <w:pPr>
        <w:pStyle w:val="Heading4"/>
      </w:pPr>
      <w:r>
        <w:t xml:space="preserve">FE-01.1 — Iniciar cotización seleccionando ramo</w:t>
      </w:r>
    </w:p>
    <w:p>
      <w:r>
        <w:rPr>
          <w:b/>
        </w:rPr>
        <w:t xml:space="preserve">Como</w:t>
      </w:r>
      <w:r>
        <w:t xml:space="preserve"> cliente potencial que visita el portal web de Solventa,</w:t>
      </w:r>
    </w:p>
    <w:p>
      <w:r>
        <w:rPr>
          <w:b/>
        </w:rPr>
        <w:t xml:space="preserve">quiero</w:t>
      </w:r>
      <w:r>
        <w:t xml:space="preserve"> seleccionar el tipo de seguro que necesito e iniciar una cotización,</w:t>
      </w:r>
    </w:p>
    <w:p>
      <w:r>
        <w:rPr>
          <w:b/>
        </w:rPr>
        <w:t xml:space="preserve">para</w:t>
      </w:r>
      <w:r>
        <w:t xml:space="preserve"> comenzar el proceso de compra sin tener que registrarme previamente.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portal muestra los ramos activos disponibles (viaje, dispositivos, vida, paramétrico, protección de pagos) tomados del catálogo de configuración, no de una lista fija en código.</w:t>
      </w:r>
    </w:p>
    <w:p>
      <w:pPr>
        <w:pStyle w:val="ListBullet"/>
        <w:numPr>
          <w:ilvl w:val="0"/>
          <w:numId w:val="1"/>
        </w:numPr>
      </w:pPr>
      <w:r>
        <w:t xml:space="preserve">Al seleccionar un ramo, el sistema crea una cotización en estado </w:t>
      </w:r>
      <w:r>
        <w:rPr>
          <w:i/>
        </w:rPr>
        <w:t xml:space="preserve">borrador</w:t>
      </w:r>
      <w:r>
        <w:t xml:space="preserve"> con identificador único.</w:t>
      </w:r>
    </w:p>
    <w:p>
      <w:pPr>
        <w:pStyle w:val="ListBullet"/>
        <w:numPr>
          <w:ilvl w:val="0"/>
          <w:numId w:val="1"/>
        </w:numPr>
      </w:pPr>
      <w:r>
        <w:t xml:space="preserve">La cotización se puede iniciar sin sesión iniciada; los datos se asocian a la sesión anónima.</w:t>
      </w:r>
    </w:p>
    <w:p>
      <w:pPr>
        <w:pStyle w:val="ListBullet"/>
        <w:numPr>
          <w:ilvl w:val="0"/>
          <w:numId w:val="1"/>
        </w:numPr>
      </w:pPr>
      <w:r>
        <w:t xml:space="preserve">Si un ramo está desactivado en configuración, no aparece en el selector.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FE-01.2 — Autorizar la consulta de datos por Open Finance</w:t>
      </w:r>
    </w:p>
    <w:p>
      <w:r>
        <w:rPr>
          <w:b/>
        </w:rPr>
        <w:t xml:space="preserve">Como</w:t>
      </w:r>
      <w:r>
        <w:t xml:space="preserve"> cliente potencial que está cotizando un seguro de vida hipotecario,</w:t>
      </w:r>
    </w:p>
    <w:p>
      <w:r>
        <w:rPr>
          <w:b/>
        </w:rPr>
        <w:t xml:space="preserve">quiero</w:t>
      </w:r>
      <w:r>
        <w:t xml:space="preserve"> autorizar de forma explícita que Solventa consulte mi información financiera vía Open Finance,</w:t>
      </w:r>
    </w:p>
    <w:p>
      <w:r>
        <w:rPr>
          <w:b/>
        </w:rPr>
        <w:t xml:space="preserve">para</w:t>
      </w:r>
      <w:r>
        <w:t xml:space="preserve"> obtener una prima ajustada a mi perfil real sin tener que cargar documentos manualmente.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presenta el detalle de qué datos se consultarán, con qué finalidad y por cuánto tiempo, antes de solicitar la autorización.</w:t>
      </w:r>
    </w:p>
    <w:p>
      <w:pPr>
        <w:pStyle w:val="ListBullet"/>
        <w:numPr>
          <w:ilvl w:val="0"/>
          <w:numId w:val="1"/>
        </w:numPr>
      </w:pPr>
      <w:r>
        <w:t xml:space="preserve">El cliente puede aceptar o rechazar; si rechaza, la cotización continúa por el flujo manual sin bloquearse.</w:t>
      </w:r>
    </w:p>
    <w:p>
      <w:pPr>
        <w:pStyle w:val="ListBullet"/>
        <w:numPr>
          <w:ilvl w:val="0"/>
          <w:numId w:val="1"/>
        </w:numPr>
      </w:pPr>
      <w:r>
        <w:t xml:space="preserve">El consentimiento otorgado queda registrado con fecha, hora, alcance y versión del texto legal aceptado.</w:t>
      </w:r>
    </w:p>
    <w:p>
      <w:pPr>
        <w:pStyle w:val="ListBullet"/>
        <w:numPr>
          <w:ilvl w:val="0"/>
          <w:numId w:val="1"/>
        </w:numPr>
      </w:pPr>
      <w:r>
        <w:t xml:space="preserve">El cliente puede revocar el consentimiento en cualquier momento y la revocación surte efecto en menos de 5 minutos.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FE-01.3 — Ingresar los datos del bien o persona a asegurar</w:t>
      </w:r>
    </w:p>
    <w:p>
      <w:r>
        <w:rPr>
          <w:b/>
        </w:rPr>
        <w:t xml:space="preserve">Como</w:t>
      </w:r>
      <w:r>
        <w:t xml:space="preserve"> cliente potencial en proceso de cotización,</w:t>
      </w:r>
    </w:p>
    <w:p>
      <w:r>
        <w:rPr>
          <w:b/>
        </w:rPr>
        <w:t xml:space="preserve">quiero</w:t>
      </w:r>
      <w:r>
        <w:t xml:space="preserve"> ingresar la información del bien o de la persona que quiero asegurar,</w:t>
      </w:r>
    </w:p>
    <w:p>
      <w:r>
        <w:rPr>
          <w:b/>
        </w:rPr>
        <w:t xml:space="preserve">para</w:t>
      </w:r>
      <w:r>
        <w:t xml:space="preserve"> que el sistema calcule una prima acorde al riesgo real.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formulario se adapta al ramo seleccionado: los campos de un seguro de viaje son distintos de los de un seguro de vida hipotecario.</w:t>
      </w:r>
    </w:p>
    <w:p>
      <w:pPr>
        <w:pStyle w:val="ListBullet"/>
        <w:numPr>
          <w:ilvl w:val="0"/>
          <w:numId w:val="1"/>
        </w:numPr>
      </w:pPr>
      <w:r>
        <w:t xml:space="preserve">Los campos obligatorios se validan en el cliente y en el servidor antes de permitir avanzar.</w:t>
      </w:r>
    </w:p>
    <w:p>
      <w:pPr>
        <w:pStyle w:val="ListBullet"/>
        <w:numPr>
          <w:ilvl w:val="0"/>
          <w:numId w:val="1"/>
        </w:numPr>
      </w:pPr>
      <w:r>
        <w:t xml:space="preserve">Los datos ingresados se guardan de forma incremental: si el cliente abandona y regresa, no pierde lo escrito.</w:t>
      </w:r>
    </w:p>
    <w:p>
      <w:pPr>
        <w:pStyle w:val="ListBullet"/>
        <w:numPr>
          <w:ilvl w:val="0"/>
          <w:numId w:val="1"/>
        </w:numPr>
      </w:pPr>
      <w:r>
        <w:t xml:space="preserve">Los campos de información personal se tokenizan antes de persistirse.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FE-01.4 — Ver la prima calculada con su desglose</w:t>
      </w:r>
    </w:p>
    <w:p>
      <w:r>
        <w:rPr>
          <w:b/>
        </w:rPr>
        <w:t xml:space="preserve">Como</w:t>
      </w:r>
      <w:r>
        <w:t xml:space="preserve"> cliente potencial que completó los datos de cotización,</w:t>
      </w:r>
    </w:p>
    <w:p>
      <w:r>
        <w:rPr>
          <w:b/>
        </w:rPr>
        <w:t xml:space="preserve">quiero</w:t>
      </w:r>
      <w:r>
        <w:t xml:space="preserve"> ver la prima calculada junto con el desglose de cómo se compone,</w:t>
      </w:r>
    </w:p>
    <w:p>
      <w:r>
        <w:rPr>
          <w:b/>
        </w:rPr>
        <w:t xml:space="preserve">para</w:t>
      </w:r>
      <w:r>
        <w:t xml:space="preserve"> entender qué estoy pagando y decidir con información clara.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devuelve la prima estimada en menos de 200 ms para el 95% de las solicitudes bajo carga normal.</w:t>
      </w:r>
    </w:p>
    <w:p>
      <w:pPr>
        <w:pStyle w:val="ListBullet"/>
        <w:numPr>
          <w:ilvl w:val="0"/>
          <w:numId w:val="1"/>
        </w:numPr>
      </w:pPr>
      <w:r>
        <w:t xml:space="preserve">El desglose muestra prima pura, gastos de administración, impuestos y prima total.</w:t>
      </w:r>
    </w:p>
    <w:p>
      <w:pPr>
        <w:pStyle w:val="ListBullet"/>
        <w:numPr>
          <w:ilvl w:val="0"/>
          <w:numId w:val="1"/>
        </w:numPr>
      </w:pPr>
      <w:r>
        <w:t xml:space="preserve">Si el motor de perfilamiento no responde dentro del tiempo límite, se muestra una prima basada en el perfil cacheado con una nota indicando que es una estimación preliminar.</w:t>
      </w:r>
    </w:p>
    <w:p>
      <w:pPr>
        <w:pStyle w:val="ListBullet"/>
        <w:numPr>
          <w:ilvl w:val="0"/>
          <w:numId w:val="1"/>
        </w:numPr>
      </w:pPr>
      <w:r>
        <w:t xml:space="preserve">La prima calculada queda asociada a la cotización con marca de tiempo y vigencia.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ASR-1.1, ASR-1.2 · </w:t>
      </w:r>
      <w:r>
        <w:rPr>
          <w:b/>
        </w:rPr>
        <w:t xml:space="preserve">Función padre:</w:t>
      </w:r>
      <w:r>
        <w:t xml:space="preserve"> SOL-3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FE-01.5 — Comparar planes de cobertura</w:t>
      </w:r>
    </w:p>
    <w:p>
      <w:r>
        <w:rPr>
          <w:b/>
        </w:rPr>
        <w:t xml:space="preserve">Como</w:t>
      </w:r>
      <w:r>
        <w:t xml:space="preserve"> cliente potencial que ya tiene una prima cotizada,</w:t>
      </w:r>
    </w:p>
    <w:p>
      <w:r>
        <w:rPr>
          <w:b/>
        </w:rPr>
        <w:t xml:space="preserve">quiero</w:t>
      </w:r>
      <w:r>
        <w:t xml:space="preserve"> comparar los distintos planes de cobertura disponibles para ese ramo,</w:t>
      </w:r>
    </w:p>
    <w:p>
      <w:r>
        <w:rPr>
          <w:b/>
        </w:rPr>
        <w:t xml:space="preserve">para</w:t>
      </w:r>
      <w:r>
        <w:t xml:space="preserve"> elegir el que mejor se ajusta a mi presupuesto y necesidad.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muestran al menos tres niveles de cobertura con su prima correspondiente, lado a lado.</w:t>
      </w:r>
    </w:p>
    <w:p>
      <w:pPr>
        <w:pStyle w:val="ListBullet"/>
        <w:numPr>
          <w:ilvl w:val="0"/>
          <w:numId w:val="1"/>
        </w:numPr>
      </w:pPr>
      <w:r>
        <w:t xml:space="preserve">La comparación indica de forma explícita qué incluye y qué excluye cada plan.</w:t>
      </w:r>
    </w:p>
    <w:p>
      <w:pPr>
        <w:pStyle w:val="ListBullet"/>
        <w:numPr>
          <w:ilvl w:val="0"/>
          <w:numId w:val="1"/>
        </w:numPr>
      </w:pPr>
      <w:r>
        <w:t xml:space="preserve">Al cambiar de plan, la prima se recalcula sin recargar la página completa.</w:t>
      </w:r>
    </w:p>
    <w:p>
      <w:pPr>
        <w:pStyle w:val="ListBullet"/>
        <w:numPr>
          <w:ilvl w:val="0"/>
          <w:numId w:val="1"/>
        </w:numPr>
      </w:pPr>
      <w:r>
        <w:t xml:space="preserve">La selección de plan queda registrada en la cotización.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FE-01.6 — Guardar, recuperar y vencer una cotización</w:t>
      </w:r>
    </w:p>
    <w:p>
      <w:r>
        <w:rPr>
          <w:b/>
        </w:rPr>
        <w:t xml:space="preserve">Como</w:t>
      </w:r>
      <w:r>
        <w:t xml:space="preserve"> cliente potencial que no quiere decidir en el momento,</w:t>
      </w:r>
    </w:p>
    <w:p>
      <w:r>
        <w:rPr>
          <w:b/>
        </w:rPr>
        <w:t xml:space="preserve">quiero</w:t>
      </w:r>
      <w:r>
        <w:t xml:space="preserve"> guardar mi cotización y recuperarla más tarde,</w:t>
      </w:r>
    </w:p>
    <w:p>
      <w:r>
        <w:rPr>
          <w:b/>
        </w:rPr>
        <w:t xml:space="preserve">para</w:t>
      </w:r>
      <w:r>
        <w:t xml:space="preserve"> tomarme el tiempo de decidir sin repetir todo el proceso.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cliente recibe por correo un enlace único para recuperar su cotización.</w:t>
      </w:r>
    </w:p>
    <w:p>
      <w:pPr>
        <w:pStyle w:val="ListBullet"/>
        <w:numPr>
          <w:ilvl w:val="0"/>
          <w:numId w:val="1"/>
        </w:numPr>
      </w:pPr>
      <w:r>
        <w:t xml:space="preserve">La cotización tiene una vigencia configurable por ramo; al vencer, el enlace deja de permitir la compra y ofrece recotizar.</w:t>
      </w:r>
    </w:p>
    <w:p>
      <w:pPr>
        <w:pStyle w:val="ListBullet"/>
        <w:numPr>
          <w:ilvl w:val="0"/>
          <w:numId w:val="1"/>
        </w:numPr>
      </w:pPr>
      <w:r>
        <w:t xml:space="preserve">Recuperar una cotización vigente restaura todos los datos ingresados y la prima calculada.</w:t>
      </w:r>
    </w:p>
    <w:p>
      <w:pPr>
        <w:pStyle w:val="ListBullet"/>
        <w:numPr>
          <w:ilvl w:val="0"/>
          <w:numId w:val="1"/>
        </w:numPr>
      </w:pPr>
      <w:r>
        <w:t xml:space="preserve">Una cotización vencida conserva sus datos para recotización, pero recalcula la prima con las tarifas actuales.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FE-02.1 — Completar los datos del tomador y de los asegurados</w:t>
      </w:r>
    </w:p>
    <w:p>
      <w:r>
        <w:rPr>
          <w:b/>
        </w:rPr>
        <w:t xml:space="preserve">Como</w:t>
      </w:r>
      <w:r>
        <w:t xml:space="preserve"> cliente que decidió comprar una póliza,</w:t>
      </w:r>
    </w:p>
    <w:p>
      <w:r>
        <w:rPr>
          <w:b/>
        </w:rPr>
        <w:t xml:space="preserve">quiero</w:t>
      </w:r>
      <w:r>
        <w:t xml:space="preserve"> completar los datos legales del tomador y de las personas aseguradas,</w:t>
      </w:r>
    </w:p>
    <w:p>
      <w:r>
        <w:rPr>
          <w:b/>
        </w:rPr>
        <w:t xml:space="preserve">para</w:t>
      </w:r>
      <w:r>
        <w:t xml:space="preserve"> que la póliza se emita a nombre correcto y con cobertura válida.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solicita los datos mínimos exigidos por regulación: identificación, fecha de nacimiento, dirección y contacto.</w:t>
      </w:r>
    </w:p>
    <w:p>
      <w:pPr>
        <w:pStyle w:val="ListBullet"/>
        <w:numPr>
          <w:ilvl w:val="0"/>
          <w:numId w:val="1"/>
        </w:numPr>
      </w:pPr>
      <w:r>
        <w:t xml:space="preserve">Se valida que el tomador sea mayor de edad y que la identificación tenga formato válido según el país.</w:t>
      </w:r>
    </w:p>
    <w:p>
      <w:pPr>
        <w:pStyle w:val="ListBullet"/>
        <w:numPr>
          <w:ilvl w:val="0"/>
          <w:numId w:val="1"/>
        </w:numPr>
      </w:pPr>
      <w:r>
        <w:t xml:space="preserve">Se pueden agregar múltiples asegurados cuando el ramo lo permite.</w:t>
      </w:r>
    </w:p>
    <w:p>
      <w:pPr>
        <w:pStyle w:val="ListBullet"/>
        <w:numPr>
          <w:ilvl w:val="0"/>
          <w:numId w:val="1"/>
        </w:numPr>
      </w:pPr>
      <w:r>
        <w:t xml:space="preserve">Todos los campos de información personal se tokenizan antes de persistirse.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SOL-4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FE-02.2 — Cargar y validar los documentos requeridos</w:t>
      </w:r>
    </w:p>
    <w:p>
      <w:r>
        <w:rPr>
          <w:b/>
        </w:rPr>
        <w:t xml:space="preserve">Como</w:t>
      </w:r>
      <w:r>
        <w:t xml:space="preserve"> cliente en proceso de suscripción,</w:t>
      </w:r>
    </w:p>
    <w:p>
      <w:r>
        <w:rPr>
          <w:b/>
        </w:rPr>
        <w:t xml:space="preserve">quiero</w:t>
      </w:r>
      <w:r>
        <w:t xml:space="preserve"> cargar los documentos que exige el ramo que estoy contratando,</w:t>
      </w:r>
    </w:p>
    <w:p>
      <w:r>
        <w:rPr>
          <w:b/>
        </w:rPr>
        <w:t xml:space="preserve">para</w:t>
      </w:r>
      <w:r>
        <w:t xml:space="preserve"> completar los requisitos de suscripción sin ir a una oficina.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indica qué documentos son obligatorios según el ramo y el monto asegurado.</w:t>
      </w:r>
    </w:p>
    <w:p>
      <w:pPr>
        <w:pStyle w:val="ListBullet"/>
        <w:numPr>
          <w:ilvl w:val="0"/>
          <w:numId w:val="1"/>
        </w:numPr>
      </w:pPr>
      <w:r>
        <w:t xml:space="preserve">Se aceptan formatos PDF, JPG y PNG con un límite de tamaño definido; se rechaza cualquier otro formato.</w:t>
      </w:r>
    </w:p>
    <w:p>
      <w:pPr>
        <w:pStyle w:val="ListBullet"/>
        <w:numPr>
          <w:ilvl w:val="0"/>
          <w:numId w:val="1"/>
        </w:numPr>
      </w:pPr>
      <w:r>
        <w:t xml:space="preserve">Cada documento cargado se almacena cifrado y queda asociado a la solicitud.</w:t>
      </w:r>
    </w:p>
    <w:p>
      <w:pPr>
        <w:pStyle w:val="ListBullet"/>
        <w:numPr>
          <w:ilvl w:val="0"/>
          <w:numId w:val="1"/>
        </w:numPr>
      </w:pPr>
      <w:r>
        <w:t xml:space="preserve">Si un documento es ilegible o no corresponde al tipo esperado, el sistema lo marca y solicita reemplazo.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SOL-4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FE-02.3 — Firmar electrónicamente la solicitud</w:t>
      </w:r>
    </w:p>
    <w:p>
      <w:r>
        <w:rPr>
          <w:b/>
        </w:rPr>
        <w:t xml:space="preserve">Como</w:t>
      </w:r>
      <w:r>
        <w:t xml:space="preserve"> cliente que completó los datos y documentos,</w:t>
      </w:r>
    </w:p>
    <w:p>
      <w:r>
        <w:rPr>
          <w:b/>
        </w:rPr>
        <w:t xml:space="preserve">quiero</w:t>
      </w:r>
      <w:r>
        <w:t xml:space="preserve"> firmar electrónicamente la solicitud de seguro,</w:t>
      </w:r>
    </w:p>
    <w:p>
      <w:r>
        <w:rPr>
          <w:b/>
        </w:rPr>
        <w:t xml:space="preserve">para</w:t>
      </w:r>
      <w:r>
        <w:t xml:space="preserve"> formalizar la contratación con validez legal sin necesidad de firma física.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presenta el documento completo de la solicitud antes de solicitar la firma.</w:t>
      </w:r>
    </w:p>
    <w:p>
      <w:pPr>
        <w:pStyle w:val="ListBullet"/>
        <w:numPr>
          <w:ilvl w:val="0"/>
          <w:numId w:val="1"/>
        </w:numPr>
      </w:pPr>
      <w:r>
        <w:t xml:space="preserve">La firma se realiza mediante un mecanismo con validez legal en Colombia, con doble factor de verificación.</w:t>
      </w:r>
    </w:p>
    <w:p>
      <w:pPr>
        <w:pStyle w:val="ListBullet"/>
        <w:numPr>
          <w:ilvl w:val="0"/>
          <w:numId w:val="1"/>
        </w:numPr>
      </w:pPr>
      <w:r>
        <w:t xml:space="preserve">El documento firmado queda con sello de tiempo y hash verificable.</w:t>
      </w:r>
    </w:p>
    <w:p>
      <w:pPr>
        <w:pStyle w:val="ListBullet"/>
        <w:numPr>
          <w:ilvl w:val="0"/>
          <w:numId w:val="1"/>
        </w:numPr>
      </w:pPr>
      <w:r>
        <w:t xml:space="preserve">El cliente recibe copia del documento firmado en su correo.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ASR-4.2 · </w:t>
      </w:r>
      <w:r>
        <w:rPr>
          <w:b/>
        </w:rPr>
        <w:t xml:space="preserve">Función padre:</w:t>
      </w:r>
      <w:r>
        <w:t xml:space="preserve"> SOL-4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FE-02.4 — Pagar la primera prima</w:t>
      </w:r>
    </w:p>
    <w:p>
      <w:r>
        <w:rPr>
          <w:b/>
        </w:rPr>
        <w:t xml:space="preserve">Como</w:t>
      </w:r>
      <w:r>
        <w:t xml:space="preserve"> cliente que firmó la solicitud,</w:t>
      </w:r>
    </w:p>
    <w:p>
      <w:r>
        <w:rPr>
          <w:b/>
        </w:rPr>
        <w:t xml:space="preserve">quiero</w:t>
      </w:r>
      <w:r>
        <w:t xml:space="preserve"> pagar la primera prima con el medio de pago que prefiera,</w:t>
      </w:r>
    </w:p>
    <w:p>
      <w:r>
        <w:rPr>
          <w:b/>
        </w:rPr>
        <w:t xml:space="preserve">para</w:t>
      </w:r>
      <w:r>
        <w:t xml:space="preserve"> activar mi cobertura inmediatamente.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ofrecen al menos dos medios de pago: tarjeta de crédito/débito y débito bancario (PSE).</w:t>
      </w:r>
    </w:p>
    <w:p>
      <w:pPr>
        <w:pStyle w:val="ListBullet"/>
        <w:numPr>
          <w:ilvl w:val="0"/>
          <w:numId w:val="1"/>
        </w:numPr>
      </w:pPr>
      <w:r>
        <w:t xml:space="preserve">El sistema no almacena en ningún momento los datos completos de la tarjeta; se usa tokenización de la pasarela.</w:t>
      </w:r>
    </w:p>
    <w:p>
      <w:pPr>
        <w:pStyle w:val="ListBullet"/>
        <w:numPr>
          <w:ilvl w:val="0"/>
          <w:numId w:val="1"/>
        </w:numPr>
      </w:pPr>
      <w:r>
        <w:t xml:space="preserve">Si el pago es rechazado, se informa el motivo y se permite reintentar con otro medio sin perder la solicitud.</w:t>
      </w:r>
    </w:p>
    <w:p>
      <w:pPr>
        <w:pStyle w:val="ListBullet"/>
        <w:numPr>
          <w:ilvl w:val="0"/>
          <w:numId w:val="1"/>
        </w:numPr>
      </w:pPr>
      <w:r>
        <w:t xml:space="preserve">Al confirmarse el pago, se dispara automáticamente la emisión de la póliza.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ASR-2.1 · </w:t>
      </w:r>
      <w:r>
        <w:rPr>
          <w:b/>
        </w:rPr>
        <w:t xml:space="preserve">Función padre:</w:t>
      </w:r>
      <w:r>
        <w:t xml:space="preserve"> SOL-4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FE-02.5 — Emitir la póliza y generar el certificado</w:t>
      </w:r>
    </w:p>
    <w:p>
      <w:r>
        <w:rPr>
          <w:b/>
        </w:rPr>
        <w:t xml:space="preserve">Como</w:t>
      </w:r>
      <w:r>
        <w:t xml:space="preserve"> cliente que pagó la primera prima,</w:t>
      </w:r>
    </w:p>
    <w:p>
      <w:r>
        <w:rPr>
          <w:b/>
        </w:rPr>
        <w:t xml:space="preserve">quiero</w:t>
      </w:r>
      <w:r>
        <w:t xml:space="preserve"> que mi póliza se emita y se genere el certificado correspondiente,</w:t>
      </w:r>
    </w:p>
    <w:p>
      <w:r>
        <w:rPr>
          <w:b/>
        </w:rPr>
        <w:t xml:space="preserve">para</w:t>
      </w:r>
      <w:r>
        <w:t xml:space="preserve"> tener la prueba formal de mi cobertura.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póliza se emite automáticamente en menos de 30 segundos tras confirmarse el pago.</w:t>
      </w:r>
    </w:p>
    <w:p>
      <w:pPr>
        <w:pStyle w:val="ListBullet"/>
        <w:numPr>
          <w:ilvl w:val="0"/>
          <w:numId w:val="1"/>
        </w:numPr>
      </w:pPr>
      <w:r>
        <w:t xml:space="preserve">Se genera un certificado en PDF con número de póliza, vigencia, coberturas, exclusiones y datos del tomador.</w:t>
      </w:r>
    </w:p>
    <w:p>
      <w:pPr>
        <w:pStyle w:val="ListBullet"/>
        <w:numPr>
          <w:ilvl w:val="0"/>
          <w:numId w:val="1"/>
        </w:numPr>
      </w:pPr>
      <w:r>
        <w:t xml:space="preserve">El certificado se firma digitalmente y se almacena con verificación de integridad.</w:t>
      </w:r>
    </w:p>
    <w:p>
      <w:pPr>
        <w:pStyle w:val="ListBullet"/>
        <w:numPr>
          <w:ilvl w:val="0"/>
          <w:numId w:val="1"/>
        </w:numPr>
      </w:pPr>
      <w:r>
        <w:t xml:space="preserve">La emisión publica un evento de dominio que consumen los servicios de notificación y de administración de pólizas.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ASR-4.2 · </w:t>
      </w:r>
      <w:r>
        <w:rPr>
          <w:b/>
        </w:rPr>
        <w:t xml:space="preserve">Función padre:</w:t>
      </w:r>
      <w:r>
        <w:t xml:space="preserve"> SOL-4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FE-02.6 — Recibir la póliza por correo y descargarla</w:t>
      </w:r>
    </w:p>
    <w:p>
      <w:r>
        <w:rPr>
          <w:b/>
        </w:rPr>
        <w:t xml:space="preserve">Como</w:t>
      </w:r>
      <w:r>
        <w:t xml:space="preserve"> cliente con una póliza recién emitida,</w:t>
      </w:r>
    </w:p>
    <w:p>
      <w:r>
        <w:rPr>
          <w:b/>
        </w:rPr>
        <w:t xml:space="preserve">quiero</w:t>
      </w:r>
      <w:r>
        <w:t xml:space="preserve"> recibir mi póliza por correo y poder descargarla desde el portal,</w:t>
      </w:r>
    </w:p>
    <w:p>
      <w:r>
        <w:rPr>
          <w:b/>
        </w:rPr>
        <w:t xml:space="preserve">para</w:t>
      </w:r>
      <w:r>
        <w:t xml:space="preserve"> tenerla disponible cuando la necesite.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correo con el certificado adjunto se envía dentro de los 5 minutos siguientes a la emisión.</w:t>
      </w:r>
    </w:p>
    <w:p>
      <w:pPr>
        <w:pStyle w:val="ListBullet"/>
        <w:numPr>
          <w:ilvl w:val="0"/>
          <w:numId w:val="1"/>
        </w:numPr>
      </w:pPr>
      <w:r>
        <w:t xml:space="preserve">El certificado también queda disponible para descarga desde el portal, en la sección de pólizas del cliente.</w:t>
      </w:r>
    </w:p>
    <w:p>
      <w:pPr>
        <w:pStyle w:val="ListBullet"/>
        <w:numPr>
          <w:ilvl w:val="0"/>
          <w:numId w:val="1"/>
        </w:numPr>
      </w:pPr>
      <w:r>
        <w:t xml:space="preserve">Si el envío del correo falla, el sistema reintenta y registra el fallo para seguimiento.</w:t>
      </w:r>
    </w:p>
    <w:p>
      <w:pPr>
        <w:pStyle w:val="ListBullet"/>
        <w:numPr>
          <w:ilvl w:val="0"/>
          <w:numId w:val="1"/>
        </w:numPr>
      </w:pPr>
      <w:r>
        <w:t xml:space="preserve">La descarga desde el portal verifica la firma digital del documento antes de entregarlo.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ASR-4.2 · </w:t>
      </w:r>
      <w:r>
        <w:rPr>
          <w:b/>
        </w:rPr>
        <w:t xml:space="preserve">Función padre:</w:t>
      </w:r>
      <w:r>
        <w:t xml:space="preserve"> SOL-4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EP-02 · Gestión de siniestros Web (SOL-2) — Función FE-04 · 5 historias · 15 SP</w:t>
      </w:r>
    </w:p>
    <w:p>
      <w:r>
        <w:rPr>
          <w:i/>
        </w:rPr>
        <w:t xml:space="preserve">Deriva de las historias originales SOL-5 (Administración de pólizas, 5 SP) y SOL-6 (Gestión y seguimiento de siniestros, 8 SP).</w:t>
      </w:r>
    </w:p>
    <w:p>
      <w:pPr>
        <w:pStyle w:val="Heading4"/>
      </w:pPr>
      <w:r>
        <w:t xml:space="preserve">FE-03.1 — Consultar el listado de pólizas</w:t>
      </w:r>
    </w:p>
    <w:p>
      <w:r>
        <w:rPr>
          <w:b/>
        </w:rPr>
        <w:t xml:space="preserve">Como</w:t>
      </w:r>
      <w:r>
        <w:t xml:space="preserve"> cliente asegurado,</w:t>
      </w:r>
    </w:p>
    <w:p>
      <w:r>
        <w:rPr>
          <w:b/>
        </w:rPr>
        <w:t xml:space="preserve">quiero</w:t>
      </w:r>
      <w:r>
        <w:t xml:space="preserve"> ver el listado de todas mis pólizas con su estado,</w:t>
      </w:r>
    </w:p>
    <w:p>
      <w:r>
        <w:rPr>
          <w:b/>
        </w:rPr>
        <w:t xml:space="preserve">para</w:t>
      </w:r>
      <w:r>
        <w:t xml:space="preserve"> saber qué coberturas tengo activas.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listan las pólizas vigentes, vencidas y canceladas, diferenciadas visualmente por estado.</w:t>
      </w:r>
    </w:p>
    <w:p>
      <w:pPr>
        <w:pStyle w:val="ListBullet"/>
        <w:numPr>
          <w:ilvl w:val="0"/>
          <w:numId w:val="1"/>
        </w:numPr>
      </w:pPr>
      <w:r>
        <w:t xml:space="preserve">Cada fila muestra número de póliza, ramo, vigencia y prima.</w:t>
      </w:r>
    </w:p>
    <w:p>
      <w:pPr>
        <w:pStyle w:val="ListBullet"/>
        <w:numPr>
          <w:ilvl w:val="0"/>
          <w:numId w:val="1"/>
        </w:numPr>
      </w:pPr>
      <w:r>
        <w:t xml:space="preserve">El listado se pagina cuando supera veinte registros.</w:t>
      </w:r>
    </w:p>
    <w:p>
      <w:pPr>
        <w:pStyle w:val="ListBullet"/>
        <w:numPr>
          <w:ilvl w:val="0"/>
          <w:numId w:val="1"/>
        </w:numPr>
      </w:pPr>
      <w:r>
        <w:t xml:space="preserve">Un cliente solo puede ver sus propias pólizas; el acceso se valida en el servidor contra la identidad de la sesión.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SOL-5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FE-03.2 — Ver el detalle y las coberturas de una póliza</w:t>
      </w:r>
    </w:p>
    <w:p>
      <w:r>
        <w:rPr>
          <w:b/>
        </w:rPr>
        <w:t xml:space="preserve">Como</w:t>
      </w:r>
      <w:r>
        <w:t xml:space="preserve"> cliente asegurado,</w:t>
      </w:r>
    </w:p>
    <w:p>
      <w:r>
        <w:rPr>
          <w:b/>
        </w:rPr>
        <w:t xml:space="preserve">quiero</w:t>
      </w:r>
      <w:r>
        <w:t xml:space="preserve"> consultar el detalle completo de una póliza,</w:t>
      </w:r>
    </w:p>
    <w:p>
      <w:r>
        <w:rPr>
          <w:b/>
        </w:rPr>
        <w:t xml:space="preserve">para</w:t>
      </w:r>
      <w:r>
        <w:t xml:space="preserve"> conocer exactamente qué cubre y qué no.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muestran coberturas contratadas, sumas aseguradas, deducibles y exclusiones.</w:t>
      </w:r>
    </w:p>
    <w:p>
      <w:pPr>
        <w:pStyle w:val="ListBullet"/>
        <w:numPr>
          <w:ilvl w:val="0"/>
          <w:numId w:val="1"/>
        </w:numPr>
      </w:pPr>
      <w:r>
        <w:t xml:space="preserve">Se muestra el histórico de movimientos de la póliza (emisión, endosos, renovaciones).</w:t>
      </w:r>
    </w:p>
    <w:p>
      <w:pPr>
        <w:pStyle w:val="ListBullet"/>
        <w:numPr>
          <w:ilvl w:val="0"/>
          <w:numId w:val="1"/>
        </w:numPr>
      </w:pPr>
      <w:r>
        <w:t xml:space="preserve">Se puede descargar el certificado vigente desde esta vista.</w:t>
      </w:r>
    </w:p>
    <w:p>
      <w:pPr>
        <w:pStyle w:val="ListBullet"/>
        <w:numPr>
          <w:ilvl w:val="0"/>
          <w:numId w:val="1"/>
        </w:numPr>
      </w:pPr>
      <w:r>
        <w:t xml:space="preserve">El acceso a una póliza que no pertenece al cliente autenticado se rechaza.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SOL-5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FE-03.3 — Renovar una póliza próxima a vencer</w:t>
      </w:r>
    </w:p>
    <w:p>
      <w:r>
        <w:rPr>
          <w:b/>
        </w:rPr>
        <w:t xml:space="preserve">Como</w:t>
      </w:r>
      <w:r>
        <w:t xml:space="preserve"> cliente con una póliza próxima a su vencimiento,</w:t>
      </w:r>
    </w:p>
    <w:p>
      <w:r>
        <w:rPr>
          <w:b/>
        </w:rPr>
        <w:t xml:space="preserve">quiero</w:t>
      </w:r>
      <w:r>
        <w:t xml:space="preserve"> renovarla desde el portal,</w:t>
      </w:r>
    </w:p>
    <w:p>
      <w:r>
        <w:rPr>
          <w:b/>
        </w:rPr>
        <w:t xml:space="preserve">para</w:t>
      </w:r>
      <w:r>
        <w:t xml:space="preserve"> mantener mi cobertura sin interrupción.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notifica al cliente 30, 15 y 5 días antes del vencimiento.</w:t>
      </w:r>
    </w:p>
    <w:p>
      <w:pPr>
        <w:pStyle w:val="ListBullet"/>
        <w:numPr>
          <w:ilvl w:val="0"/>
          <w:numId w:val="1"/>
        </w:numPr>
      </w:pPr>
      <w:r>
        <w:t xml:space="preserve">La renovación presenta la prima recalculada con las tarifas vigentes y explica cualquier variación respecto al periodo anterior.</w:t>
      </w:r>
    </w:p>
    <w:p>
      <w:pPr>
        <w:pStyle w:val="ListBullet"/>
        <w:numPr>
          <w:ilvl w:val="0"/>
          <w:numId w:val="1"/>
        </w:numPr>
      </w:pPr>
      <w:r>
        <w:t xml:space="preserve">Al confirmar y pagar, se emite la póliza renovada sin corte de cobertura.</w:t>
      </w:r>
    </w:p>
    <w:p>
      <w:pPr>
        <w:pStyle w:val="ListBullet"/>
        <w:numPr>
          <w:ilvl w:val="0"/>
          <w:numId w:val="1"/>
        </w:numPr>
      </w:pPr>
      <w:r>
        <w:t xml:space="preserve">Si el cliente no renueva, la póliza pasa a estado vencido en la fecha correspondiente.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SOL-5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FE-03.4 — Modificar datos de una póliza (endoso)</w:t>
      </w:r>
    </w:p>
    <w:p>
      <w:r>
        <w:rPr>
          <w:b/>
        </w:rPr>
        <w:t xml:space="preserve">Como</w:t>
      </w:r>
      <w:r>
        <w:t xml:space="preserve"> cliente asegurado cuya situación cambió,</w:t>
      </w:r>
    </w:p>
    <w:p>
      <w:r>
        <w:rPr>
          <w:b/>
        </w:rPr>
        <w:t xml:space="preserve">quiero</w:t>
      </w:r>
      <w:r>
        <w:t xml:space="preserve"> solicitar la modificación de los datos de mi póliza,</w:t>
      </w:r>
    </w:p>
    <w:p>
      <w:r>
        <w:rPr>
          <w:b/>
        </w:rPr>
        <w:t xml:space="preserve">para</w:t>
      </w:r>
      <w:r>
        <w:t xml:space="preserve"> que la cobertura refleje mi situación real.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pueden solicitar cambios de datos de contacto, beneficiarios y suma asegurada.</w:t>
      </w:r>
    </w:p>
    <w:p>
      <w:pPr>
        <w:pStyle w:val="ListBullet"/>
        <w:numPr>
          <w:ilvl w:val="0"/>
          <w:numId w:val="1"/>
        </w:numPr>
      </w:pPr>
      <w:r>
        <w:t xml:space="preserve">Los cambios que afectan el riesgo disparan un recálculo de prima y requieren aprobación.</w:t>
      </w:r>
    </w:p>
    <w:p>
      <w:pPr>
        <w:pStyle w:val="ListBullet"/>
        <w:numPr>
          <w:ilvl w:val="0"/>
          <w:numId w:val="1"/>
        </w:numPr>
      </w:pPr>
      <w:r>
        <w:t xml:space="preserve">Cada endoso genera un documento nuevo, firmado, que no reemplaza sino que complementa el original.</w:t>
      </w:r>
    </w:p>
    <w:p>
      <w:pPr>
        <w:pStyle w:val="ListBullet"/>
        <w:numPr>
          <w:ilvl w:val="0"/>
          <w:numId w:val="1"/>
        </w:numPr>
      </w:pPr>
      <w:r>
        <w:t xml:space="preserve">Toda modificación queda registrada en el histórico con autor, fecha y valores anterior y nuevo.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ASR-4.2 · </w:t>
      </w:r>
      <w:r>
        <w:rPr>
          <w:b/>
        </w:rPr>
        <w:t xml:space="preserve">Función padre:</w:t>
      </w:r>
      <w:r>
        <w:t xml:space="preserve"> SOL-5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FE-03.5 — Cancelar una póliza y calcular la devolución</w:t>
      </w:r>
    </w:p>
    <w:p>
      <w:r>
        <w:rPr>
          <w:b/>
        </w:rPr>
        <w:t xml:space="preserve">Como</w:t>
      </w:r>
      <w:r>
        <w:t xml:space="preserve"> cliente asegurado que ya no necesita la cobertura,</w:t>
      </w:r>
    </w:p>
    <w:p>
      <w:r>
        <w:rPr>
          <w:b/>
        </w:rPr>
        <w:t xml:space="preserve">quiero</w:t>
      </w:r>
      <w:r>
        <w:t xml:space="preserve"> cancelar mi póliza y saber cuánto se me devuelve,</w:t>
      </w:r>
    </w:p>
    <w:p>
      <w:r>
        <w:rPr>
          <w:b/>
        </w:rPr>
        <w:t xml:space="preserve">para</w:t>
      </w:r>
      <w:r>
        <w:t xml:space="preserve"> dejar de pagar por algo que no uso.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calcula la prima no devengada según el tiempo de cobertura efectivamente transcurrido.</w:t>
      </w:r>
    </w:p>
    <w:p>
      <w:pPr>
        <w:pStyle w:val="ListBullet"/>
        <w:numPr>
          <w:ilvl w:val="0"/>
          <w:numId w:val="1"/>
        </w:numPr>
      </w:pPr>
      <w:r>
        <w:t xml:space="preserve">Se informa al cliente el monto exacto de devolución antes de confirmar la cancelación.</w:t>
      </w:r>
    </w:p>
    <w:p>
      <w:pPr>
        <w:pStyle w:val="ListBullet"/>
        <w:numPr>
          <w:ilvl w:val="0"/>
          <w:numId w:val="1"/>
        </w:numPr>
      </w:pPr>
      <w:r>
        <w:t xml:space="preserve">La cancelación requiere confirmación explícita y queda registrada con fecha y motivo.</w:t>
      </w:r>
    </w:p>
    <w:p>
      <w:pPr>
        <w:pStyle w:val="ListBullet"/>
        <w:numPr>
          <w:ilvl w:val="0"/>
          <w:numId w:val="1"/>
        </w:numPr>
      </w:pPr>
      <w:r>
        <w:t xml:space="preserve">La devolución se procesa por el mismo medio de pago usado originalmente.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SOL-5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FE-04.1 — Registrar el aviso de un siniestro</w:t>
      </w:r>
    </w:p>
    <w:p>
      <w:r>
        <w:rPr>
          <w:b/>
        </w:rPr>
        <w:t xml:space="preserve">Como</w:t>
      </w:r>
      <w:r>
        <w:t xml:space="preserve"> cliente asegurado que sufrió un evento cubierto,</w:t>
      </w:r>
    </w:p>
    <w:p>
      <w:r>
        <w:rPr>
          <w:b/>
        </w:rPr>
        <w:t xml:space="preserve">quiero</w:t>
      </w:r>
      <w:r>
        <w:t xml:space="preserve"> reportar el siniestro desde el portal,</w:t>
      </w:r>
    </w:p>
    <w:p>
      <w:r>
        <w:rPr>
          <w:b/>
        </w:rPr>
        <w:t xml:space="preserve">para</w:t>
      </w:r>
      <w:r>
        <w:t xml:space="preserve"> iniciar el proceso de indemnización de inmediato.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cliente selecciona la póliza afectada de entre sus pólizas vigentes.</w:t>
      </w:r>
    </w:p>
    <w:p>
      <w:pPr>
        <w:pStyle w:val="ListBullet"/>
        <w:numPr>
          <w:ilvl w:val="0"/>
          <w:numId w:val="1"/>
        </w:numPr>
      </w:pPr>
      <w:r>
        <w:t xml:space="preserve">Se capturan fecha, hora, lugar y descripción del evento.</w:t>
      </w:r>
    </w:p>
    <w:p>
      <w:pPr>
        <w:pStyle w:val="ListBullet"/>
        <w:numPr>
          <w:ilvl w:val="0"/>
          <w:numId w:val="1"/>
        </w:numPr>
      </w:pPr>
      <w:r>
        <w:t xml:space="preserve">El sistema valida que la fecha del evento esté dentro de la vigencia de la póliza y rechaza el aviso si no lo está.</w:t>
      </w:r>
    </w:p>
    <w:p>
      <w:pPr>
        <w:pStyle w:val="ListBullet"/>
        <w:numPr>
          <w:ilvl w:val="0"/>
          <w:numId w:val="1"/>
        </w:numPr>
      </w:pPr>
      <w:r>
        <w:t xml:space="preserve">Al registrarse, se genera un número de siniestro y se notifica al cliente.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SOL-6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FE-04.2 — Adjuntar la documentación de soporte del siniestro</w:t>
      </w:r>
    </w:p>
    <w:p>
      <w:r>
        <w:rPr>
          <w:b/>
        </w:rPr>
        <w:t xml:space="preserve">Como</w:t>
      </w:r>
      <w:r>
        <w:t xml:space="preserve"> cliente con un siniestro reportado,</w:t>
      </w:r>
    </w:p>
    <w:p>
      <w:r>
        <w:rPr>
          <w:b/>
        </w:rPr>
        <w:t xml:space="preserve">quiero</w:t>
      </w:r>
      <w:r>
        <w:t xml:space="preserve"> adjuntar los documentos que soportan mi reclamación,</w:t>
      </w:r>
    </w:p>
    <w:p>
      <w:r>
        <w:rPr>
          <w:b/>
        </w:rPr>
        <w:t xml:space="preserve">para</w:t>
      </w:r>
      <w:r>
        <w:t xml:space="preserve"> que se pueda evaluar y resolver.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sistema indica qué documentos requiere el tipo de siniestro reportado.</w:t>
      </w:r>
    </w:p>
    <w:p>
      <w:pPr>
        <w:pStyle w:val="ListBullet"/>
        <w:numPr>
          <w:ilvl w:val="0"/>
          <w:numId w:val="1"/>
        </w:numPr>
      </w:pPr>
      <w:r>
        <w:t xml:space="preserve">Se pueden cargar documentos en varias sesiones, no necesariamente todos de una vez.</w:t>
      </w:r>
    </w:p>
    <w:p>
      <w:pPr>
        <w:pStyle w:val="ListBullet"/>
        <w:numPr>
          <w:ilvl w:val="0"/>
          <w:numId w:val="1"/>
        </w:numPr>
      </w:pPr>
      <w:r>
        <w:t xml:space="preserve">Cada documento queda asociado al siniestro, cifrado y con registro de quién lo cargó y cuándo.</w:t>
      </w:r>
    </w:p>
    <w:p>
      <w:pPr>
        <w:pStyle w:val="ListBullet"/>
        <w:numPr>
          <w:ilvl w:val="0"/>
          <w:numId w:val="1"/>
        </w:numPr>
      </w:pPr>
      <w:r>
        <w:t xml:space="preserve">El cliente ve cuáles documentos faltan por entregar.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SOL-6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FE-04.3 — Consultar el estado de un siniestro</w:t>
      </w:r>
    </w:p>
    <w:p>
      <w:r>
        <w:rPr>
          <w:b/>
        </w:rPr>
        <w:t xml:space="preserve">Como</w:t>
      </w:r>
      <w:r>
        <w:t xml:space="preserve"> cliente con un siniestro en trámite,</w:t>
      </w:r>
    </w:p>
    <w:p>
      <w:r>
        <w:rPr>
          <w:b/>
        </w:rPr>
        <w:t xml:space="preserve">quiero</w:t>
      </w:r>
      <w:r>
        <w:t xml:space="preserve"> consultar en qué etapa está mi reclamación,</w:t>
      </w:r>
    </w:p>
    <w:p>
      <w:r>
        <w:rPr>
          <w:b/>
        </w:rPr>
        <w:t xml:space="preserve">para</w:t>
      </w:r>
      <w:r>
        <w:t xml:space="preserve"> saber qué esperar y qué debo hacer.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muestra la etapa actual del siniestro y las etapas ya superadas, con sus fechas.</w:t>
      </w:r>
    </w:p>
    <w:p>
      <w:pPr>
        <w:pStyle w:val="ListBullet"/>
        <w:numPr>
          <w:ilvl w:val="0"/>
          <w:numId w:val="1"/>
        </w:numPr>
      </w:pPr>
      <w:r>
        <w:t xml:space="preserve">Si el siniestro requiere una acción del cliente, se indica de forma destacada cuál es.</w:t>
      </w:r>
    </w:p>
    <w:p>
      <w:pPr>
        <w:pStyle w:val="ListBullet"/>
        <w:numPr>
          <w:ilvl w:val="0"/>
          <w:numId w:val="1"/>
        </w:numPr>
      </w:pPr>
      <w:r>
        <w:t xml:space="preserve">El cliente recibe notificación ante cada cambio de estado.</w:t>
      </w:r>
    </w:p>
    <w:p>
      <w:pPr>
        <w:pStyle w:val="ListBullet"/>
        <w:numPr>
          <w:ilvl w:val="0"/>
          <w:numId w:val="1"/>
        </w:numPr>
      </w:pPr>
      <w:r>
        <w:t xml:space="preserve">Se muestra el tiempo estimado de resolución según el tipo de siniestro.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SOL-6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FE-04.4 — Asignar y gestionar el perito</w:t>
      </w:r>
    </w:p>
    <w:p>
      <w:r>
        <w:rPr>
          <w:b/>
        </w:rPr>
        <w:t xml:space="preserve">Como</w:t>
      </w:r>
      <w:r>
        <w:t xml:space="preserve"> analista de siniestros de Solventa,</w:t>
      </w:r>
    </w:p>
    <w:p>
      <w:r>
        <w:rPr>
          <w:b/>
        </w:rPr>
        <w:t xml:space="preserve">quiero</w:t>
      </w:r>
      <w:r>
        <w:t xml:space="preserve"> asignar un perito al siniestro y hacer seguimiento a su informe,</w:t>
      </w:r>
    </w:p>
    <w:p>
      <w:r>
        <w:rPr>
          <w:b/>
        </w:rPr>
        <w:t xml:space="preserve">para</w:t>
      </w:r>
      <w:r>
        <w:t xml:space="preserve"> resolver la reclamación con sustento técnico.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analista puede asignar un perito de la red disponible según ubicación y especialidad.</w:t>
      </w:r>
    </w:p>
    <w:p>
      <w:pPr>
        <w:pStyle w:val="ListBullet"/>
        <w:numPr>
          <w:ilvl w:val="0"/>
          <w:numId w:val="1"/>
        </w:numPr>
      </w:pPr>
      <w:r>
        <w:t xml:space="preserve">El perito recibe notificación con los datos del siniestro y accede a la documentación cargada.</w:t>
      </w:r>
    </w:p>
    <w:p>
      <w:pPr>
        <w:pStyle w:val="ListBullet"/>
        <w:numPr>
          <w:ilvl w:val="0"/>
          <w:numId w:val="1"/>
        </w:numPr>
      </w:pPr>
      <w:r>
        <w:t xml:space="preserve">El perito carga su informe con conclusión y valor estimado del daño.</w:t>
      </w:r>
    </w:p>
    <w:p>
      <w:pPr>
        <w:pStyle w:val="ListBullet"/>
        <w:numPr>
          <w:ilvl w:val="0"/>
          <w:numId w:val="1"/>
        </w:numPr>
      </w:pPr>
      <w:r>
        <w:t xml:space="preserve">El siniestro no puede pasar a liquidación sin informe de perito cuando el ramo lo exige.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SOL-6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FE-04.5 — Aprobar o rechazar y liquidar la indemnización</w:t>
      </w:r>
    </w:p>
    <w:p>
      <w:r>
        <w:rPr>
          <w:b/>
        </w:rPr>
        <w:t xml:space="preserve">Como</w:t>
      </w:r>
      <w:r>
        <w:t xml:space="preserve"> analista de siniestros de Solventa,</w:t>
      </w:r>
    </w:p>
    <w:p>
      <w:r>
        <w:rPr>
          <w:b/>
        </w:rPr>
        <w:t xml:space="preserve">quiero</w:t>
      </w:r>
      <w:r>
        <w:t xml:space="preserve"> aprobar o rechazar la reclamación y liquidar la indemnización,</w:t>
      </w:r>
    </w:p>
    <w:p>
      <w:r>
        <w:rPr>
          <w:b/>
        </w:rPr>
        <w:t xml:space="preserve">para</w:t>
      </w:r>
      <w:r>
        <w:t xml:space="preserve"> cerrar el siniestro y pagar lo que corresponde.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decisión requiere motivación escrita, tanto para aprobación como para rechazo.</w:t>
      </w:r>
    </w:p>
    <w:p>
      <w:pPr>
        <w:pStyle w:val="ListBullet"/>
        <w:numPr>
          <w:ilvl w:val="0"/>
          <w:numId w:val="1"/>
        </w:numPr>
      </w:pPr>
      <w:r>
        <w:t xml:space="preserve">La liquidación aplica deducible y límites de cobertura de forma automática según la póliza.</w:t>
      </w:r>
    </w:p>
    <w:p>
      <w:pPr>
        <w:pStyle w:val="ListBullet"/>
        <w:numPr>
          <w:ilvl w:val="0"/>
          <w:numId w:val="1"/>
        </w:numPr>
      </w:pPr>
      <w:r>
        <w:t xml:space="preserve">Aprobada la liquidación, se dispara la orden de pago al cliente por el medio registrado.</w:t>
      </w:r>
    </w:p>
    <w:p>
      <w:pPr>
        <w:pStyle w:val="ListBullet"/>
        <w:numPr>
          <w:ilvl w:val="0"/>
          <w:numId w:val="1"/>
        </w:numPr>
      </w:pPr>
      <w:r>
        <w:t xml:space="preserve">Toda decisión queda registrada de forma inmutable con el usuario que la tomó y su justificación.</w:t>
      </w:r>
    </w:p>
    <w:p>
      <w:r>
        <w:rPr>
          <w:b/>
        </w:rPr>
        <w:t xml:space="preserve">SP:</w:t>
      </w:r>
      <w:r>
        <w:t xml:space="preserve"> 5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ASR-4.2 · </w:t>
      </w:r>
      <w:r>
        <w:rPr>
          <w:b/>
        </w:rPr>
        <w:t xml:space="preserve">Función padre:</w:t>
      </w:r>
      <w:r>
        <w:t xml:space="preserve"> SOL-6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EP-06 · Acceso y autenticación Web (nueva) — Función FE-10 (nueva) · 4 historias · 9 SP</w:t>
      </w:r>
    </w:p>
    <w:p>
      <w:pPr>
        <w:pStyle w:val="Quote"/>
      </w:pPr>
      <w:r>
        <w:rPr>
          <w:b/>
        </w:rPr>
        <w:t xml:space="preserve">Épica nueva.</w:t>
      </w:r>
      <w:r>
        <w:t xml:space="preserve"> La autenticación web aparecía como recorrido crítico en la definición de alcance del proyecto pero no tenía ninguna historia asociada en el backlog v1.1. Se agrega aquí para cerrar esa brecha.</w:t>
      </w:r>
    </w:p>
    <w:p>
      <w:pPr>
        <w:pStyle w:val="Heading4"/>
      </w:pPr>
      <w:r>
        <w:t xml:space="preserve">FE-10.1 — Registrarse en el portal con verificación de correo</w:t>
      </w:r>
    </w:p>
    <w:p>
      <w:r>
        <w:rPr>
          <w:b/>
        </w:rPr>
        <w:t xml:space="preserve">Como</w:t>
      </w:r>
      <w:r>
        <w:t xml:space="preserve"> cliente nuevo de Solventa,</w:t>
      </w:r>
    </w:p>
    <w:p>
      <w:r>
        <w:rPr>
          <w:b/>
        </w:rPr>
        <w:t xml:space="preserve">quiero</w:t>
      </w:r>
      <w:r>
        <w:t xml:space="preserve"> crear una cuenta en el portal,</w:t>
      </w:r>
    </w:p>
    <w:p>
      <w:r>
        <w:rPr>
          <w:b/>
        </w:rPr>
        <w:t xml:space="preserve">para</w:t>
      </w:r>
      <w:r>
        <w:t xml:space="preserve"> gestionar mis pólizas y siniestros en un solo lugar.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registro solicita correo, contraseña e identificación, y valida que el correo no esté ya registrado.</w:t>
      </w:r>
    </w:p>
    <w:p>
      <w:pPr>
        <w:pStyle w:val="ListBullet"/>
        <w:numPr>
          <w:ilvl w:val="0"/>
          <w:numId w:val="1"/>
        </w:numPr>
      </w:pPr>
      <w:r>
        <w:t xml:space="preserve">La contraseña debe cumplir una política mínima de complejidad, verificada en el servidor.</w:t>
      </w:r>
    </w:p>
    <w:p>
      <w:pPr>
        <w:pStyle w:val="ListBullet"/>
        <w:numPr>
          <w:ilvl w:val="0"/>
          <w:numId w:val="1"/>
        </w:numPr>
      </w:pPr>
      <w:r>
        <w:t xml:space="preserve">La cuenta permanece inactiva hasta que el cliente confirma su correo mediante un enlace con vencimiento.</w:t>
      </w:r>
    </w:p>
    <w:p>
      <w:pPr>
        <w:pStyle w:val="ListBullet"/>
        <w:numPr>
          <w:ilvl w:val="0"/>
          <w:numId w:val="1"/>
        </w:numPr>
      </w:pPr>
      <w:r>
        <w:t xml:space="preserve">La contraseña se almacena con función de derivación de clave resistente a fuerza bruta, nunca en texto plano ni con hash simple.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</w:t>
      </w:r>
      <w:r>
        <w:rPr>
          <w:i/>
        </w:rPr>
        <w:t xml:space="preserve">(nueva)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FE-10.2 — Iniciar sesión con segundo factor</w:t>
      </w:r>
    </w:p>
    <w:p>
      <w:r>
        <w:rPr>
          <w:b/>
        </w:rPr>
        <w:t xml:space="preserve">Como</w:t>
      </w:r>
      <w:r>
        <w:t xml:space="preserve"> cliente registrado,</w:t>
      </w:r>
    </w:p>
    <w:p>
      <w:r>
        <w:rPr>
          <w:b/>
        </w:rPr>
        <w:t xml:space="preserve">quiero</w:t>
      </w:r>
      <w:r>
        <w:t xml:space="preserve"> iniciar sesión de forma segura en el portal,</w:t>
      </w:r>
    </w:p>
    <w:p>
      <w:r>
        <w:rPr>
          <w:b/>
        </w:rPr>
        <w:t xml:space="preserve">para</w:t>
      </w:r>
      <w:r>
        <w:t xml:space="preserve"> acceder a mi información con la confianza de que nadie más puede hacerlo.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inicio de sesión exige un segundo factor cuando se detecta un dispositivo o ubicación no reconocidos.</w:t>
      </w:r>
    </w:p>
    <w:p>
      <w:pPr>
        <w:pStyle w:val="ListBullet"/>
        <w:numPr>
          <w:ilvl w:val="0"/>
          <w:numId w:val="1"/>
        </w:numPr>
      </w:pPr>
      <w:r>
        <w:t xml:space="preserve">Tras cinco intentos fallidos consecutivos, la cuenta se bloquea temporalmente con retardo incremental.</w:t>
      </w:r>
    </w:p>
    <w:p>
      <w:pPr>
        <w:pStyle w:val="ListBullet"/>
        <w:numPr>
          <w:ilvl w:val="0"/>
          <w:numId w:val="1"/>
        </w:numPr>
      </w:pPr>
      <w:r>
        <w:t xml:space="preserve">El mensaje de error no revela si el fallo fue por usuario inexistente o contraseña incorrecta.</w:t>
      </w:r>
    </w:p>
    <w:p>
      <w:pPr>
        <w:pStyle w:val="ListBullet"/>
        <w:numPr>
          <w:ilvl w:val="0"/>
          <w:numId w:val="1"/>
        </w:numPr>
      </w:pPr>
      <w:r>
        <w:t xml:space="preserve">La sesión se establece con un token de vigencia limitada, transmitido y almacenado de forma segura.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</w:t>
      </w:r>
      <w:r>
        <w:rPr>
          <w:i/>
        </w:rPr>
        <w:t xml:space="preserve">(nueva)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FE-10.3 — Recuperar el acceso a la cuenta</w:t>
      </w:r>
    </w:p>
    <w:p>
      <w:r>
        <w:rPr>
          <w:b/>
        </w:rPr>
        <w:t xml:space="preserve">Como</w:t>
      </w:r>
      <w:r>
        <w:t xml:space="preserve"> cliente registrado que olvidó su contraseña,</w:t>
      </w:r>
    </w:p>
    <w:p>
      <w:r>
        <w:rPr>
          <w:b/>
        </w:rPr>
        <w:t xml:space="preserve">quiero</w:t>
      </w:r>
      <w:r>
        <w:t xml:space="preserve"> restablecerla,</w:t>
      </w:r>
    </w:p>
    <w:p>
      <w:r>
        <w:rPr>
          <w:b/>
        </w:rPr>
        <w:t xml:space="preserve">para</w:t>
      </w:r>
      <w:r>
        <w:t xml:space="preserve"> recuperar el acceso a mi cuenta.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restablecimiento se solicita con el correo registrado y envía un enlace de un solo uso con vencimiento corto.</w:t>
      </w:r>
    </w:p>
    <w:p>
      <w:pPr>
        <w:pStyle w:val="ListBullet"/>
        <w:numPr>
          <w:ilvl w:val="0"/>
          <w:numId w:val="1"/>
        </w:numPr>
      </w:pPr>
      <w:r>
        <w:t xml:space="preserve">El sistema responde igual exista o no la cuenta, para no revelar qué correos están registrados.</w:t>
      </w:r>
    </w:p>
    <w:p>
      <w:pPr>
        <w:pStyle w:val="ListBullet"/>
        <w:numPr>
          <w:ilvl w:val="0"/>
          <w:numId w:val="1"/>
        </w:numPr>
      </w:pPr>
      <w:r>
        <w:t xml:space="preserve">Al restablecer la contraseña se invalidan todas las sesiones activas de esa cuenta.</w:t>
      </w:r>
    </w:p>
    <w:p>
      <w:pPr>
        <w:pStyle w:val="ListBullet"/>
        <w:numPr>
          <w:ilvl w:val="0"/>
          <w:numId w:val="1"/>
        </w:numPr>
      </w:pPr>
      <w:r>
        <w:t xml:space="preserve">El cliente recibe notificación del cambio de contraseña en su correo.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</w:t>
      </w:r>
      <w:r>
        <w:rPr>
          <w:i/>
        </w:rPr>
        <w:t xml:space="preserve">(nueva)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FE-10.4 — Cerrar sesión y expirar por inactividad</w:t>
      </w:r>
    </w:p>
    <w:p>
      <w:r>
        <w:rPr>
          <w:b/>
        </w:rPr>
        <w:t xml:space="preserve">Como</w:t>
      </w:r>
      <w:r>
        <w:t xml:space="preserve"> cliente que usa el portal desde un equipo compartido,</w:t>
      </w:r>
    </w:p>
    <w:p>
      <w:r>
        <w:rPr>
          <w:b/>
        </w:rPr>
        <w:t xml:space="preserve">quiero</w:t>
      </w:r>
      <w:r>
        <w:t xml:space="preserve"> que mi sesión se cierre al salir o tras un periodo de inactividad,</w:t>
      </w:r>
    </w:p>
    <w:p>
      <w:r>
        <w:rPr>
          <w:b/>
        </w:rPr>
        <w:t xml:space="preserve">para</w:t>
      </w:r>
      <w:r>
        <w:t xml:space="preserve"> que nadie acceda a mi información después de que termino.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cierre de sesión invalida el token en el servidor, no solamente en el navegador.</w:t>
      </w:r>
    </w:p>
    <w:p>
      <w:pPr>
        <w:pStyle w:val="ListBullet"/>
        <w:numPr>
          <w:ilvl w:val="0"/>
          <w:numId w:val="1"/>
        </w:numPr>
      </w:pPr>
      <w:r>
        <w:t xml:space="preserve">La sesión expira automáticamente tras un periodo de inactividad configurable.</w:t>
      </w:r>
    </w:p>
    <w:p>
      <w:pPr>
        <w:pStyle w:val="ListBullet"/>
        <w:numPr>
          <w:ilvl w:val="0"/>
          <w:numId w:val="1"/>
        </w:numPr>
      </w:pPr>
      <w:r>
        <w:t xml:space="preserve">Se avisa al cliente antes de expirar la sesión y se le ofrece extenderla.</w:t>
      </w:r>
    </w:p>
    <w:p>
      <w:pPr>
        <w:pStyle w:val="ListBullet"/>
        <w:numPr>
          <w:ilvl w:val="0"/>
          <w:numId w:val="1"/>
        </w:numPr>
      </w:pPr>
      <w:r>
        <w:t xml:space="preserve">El cliente puede ver sus sesiones activas y cerrarlas remotamente.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</w:t>
      </w:r>
      <w:r>
        <w:rPr>
          <w:i/>
        </w:rPr>
        <w:t xml:space="preserve">(nueva)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EP-03 · Acceso y gestión de pólizas Móvil (SOL-7) — Funciones FE-05 y FE-06 · 11 historias · 31 SP</w:t>
      </w:r>
    </w:p>
    <w:p>
      <w:r>
        <w:rPr>
          <w:i/>
        </w:rPr>
        <w:t xml:space="preserve">Deriva de la historia original SOL-10 (Autenticación biométrica y KYC/AML, 8 SP).</w:t>
      </w:r>
    </w:p>
    <w:p>
      <w:pPr>
        <w:pStyle w:val="Heading4"/>
      </w:pPr>
      <w:r>
        <w:t xml:space="preserve">FE-05.1 — Capturar el documento de identidad</w:t>
      </w:r>
    </w:p>
    <w:p>
      <w:r>
        <w:rPr>
          <w:b/>
        </w:rPr>
        <w:t xml:space="preserve">Como</w:t>
      </w:r>
      <w:r>
        <w:t xml:space="preserve"> cliente nuevo que se registra desde la app móvil,</w:t>
      </w:r>
    </w:p>
    <w:p>
      <w:r>
        <w:rPr>
          <w:b/>
        </w:rPr>
        <w:t xml:space="preserve">quiero</w:t>
      </w:r>
      <w:r>
        <w:t xml:space="preserve"> fotografiar mi documento de identidad y que los datos se extraigan solos,</w:t>
      </w:r>
    </w:p>
    <w:p>
      <w:r>
        <w:rPr>
          <w:b/>
        </w:rPr>
        <w:t xml:space="preserve">para</w:t>
      </w:r>
      <w:r>
        <w:t xml:space="preserve"> no tener que digitar todo manualmente.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guía la captura del anverso y el reverso con marco de encuadre y validación de nitidez.</w:t>
      </w:r>
    </w:p>
    <w:p>
      <w:pPr>
        <w:pStyle w:val="ListBullet"/>
        <w:numPr>
          <w:ilvl w:val="0"/>
          <w:numId w:val="1"/>
        </w:numPr>
      </w:pPr>
      <w:r>
        <w:t xml:space="preserve">Los datos se extraen automáticamente y se presentan al cliente para confirmación o corrección.</w:t>
      </w:r>
    </w:p>
    <w:p>
      <w:pPr>
        <w:pStyle w:val="ListBullet"/>
        <w:numPr>
          <w:ilvl w:val="0"/>
          <w:numId w:val="1"/>
        </w:numPr>
      </w:pPr>
      <w:r>
        <w:t xml:space="preserve">Si la imagen no permite extraer los datos, se solicita repetir la captura indicando el motivo.</w:t>
      </w:r>
    </w:p>
    <w:p>
      <w:pPr>
        <w:pStyle w:val="ListBullet"/>
        <w:numPr>
          <w:ilvl w:val="0"/>
          <w:numId w:val="1"/>
        </w:numPr>
      </w:pPr>
      <w:r>
        <w:t xml:space="preserve">Las imágenes del documento se transmiten cifradas y no quedan almacenadas en la galería del dispositivo.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SOL-10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FE-05.2 — Verificar la identidad con prueba de vida</w:t>
      </w:r>
    </w:p>
    <w:p>
      <w:r>
        <w:rPr>
          <w:b/>
        </w:rPr>
        <w:t xml:space="preserve">Como</w:t>
      </w:r>
      <w:r>
        <w:t xml:space="preserve"> cliente nuevo en proceso de onboarding,</w:t>
      </w:r>
    </w:p>
    <w:p>
      <w:r>
        <w:rPr>
          <w:b/>
        </w:rPr>
        <w:t xml:space="preserve">quiero</w:t>
      </w:r>
      <w:r>
        <w:t xml:space="preserve"> verificar que soy yo mediante una prueba de vida,</w:t>
      </w:r>
    </w:p>
    <w:p>
      <w:r>
        <w:rPr>
          <w:b/>
        </w:rPr>
        <w:t xml:space="preserve">para</w:t>
      </w:r>
      <w:r>
        <w:t xml:space="preserve"> completar mi registro sin ir a una oficina.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solicita una secuencia de gestos aleatoria para evitar suplantación con fotografías o video pregrabado.</w:t>
      </w:r>
    </w:p>
    <w:p>
      <w:pPr>
        <w:pStyle w:val="ListBullet"/>
        <w:numPr>
          <w:ilvl w:val="0"/>
          <w:numId w:val="1"/>
        </w:numPr>
      </w:pPr>
      <w:r>
        <w:t xml:space="preserve">El resultado compara el rostro capturado contra la fotografía del documento y devuelve un nivel de confianza.</w:t>
      </w:r>
    </w:p>
    <w:p>
      <w:pPr>
        <w:pStyle w:val="ListBullet"/>
        <w:numPr>
          <w:ilvl w:val="0"/>
          <w:numId w:val="1"/>
        </w:numPr>
      </w:pPr>
      <w:r>
        <w:t xml:space="preserve">Si el nivel de confianza está por debajo del umbral, el caso se deriva a revisión manual en lugar de rechazarse automáticamente.</w:t>
      </w:r>
    </w:p>
    <w:p>
      <w:pPr>
        <w:pStyle w:val="ListBullet"/>
        <w:numPr>
          <w:ilvl w:val="0"/>
          <w:numId w:val="1"/>
        </w:numPr>
      </w:pPr>
      <w:r>
        <w:t xml:space="preserve">Los datos biométricos se procesan y descartan; no se persisten en el dispositivo ni en el backend.</w:t>
      </w:r>
    </w:p>
    <w:p>
      <w:r>
        <w:rPr>
          <w:b/>
        </w:rPr>
        <w:t xml:space="preserve">SP:</w:t>
      </w:r>
      <w:r>
        <w:t xml:space="preserve"> 5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SOL-10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FE-05.3 — Validar contra listas restrictivas</w:t>
      </w:r>
    </w:p>
    <w:p>
      <w:r>
        <w:rPr>
          <w:b/>
        </w:rPr>
        <w:t xml:space="preserve">Como</w:t>
      </w:r>
      <w:r>
        <w:t xml:space="preserve"> oficial de cumplimiento de Solventa,</w:t>
      </w:r>
    </w:p>
    <w:p>
      <w:r>
        <w:rPr>
          <w:b/>
        </w:rPr>
        <w:t xml:space="preserve">quiero</w:t>
      </w:r>
      <w:r>
        <w:t xml:space="preserve"> que todo cliente nuevo se valide contra listas restrictivas y de personas expuestas políticamente,</w:t>
      </w:r>
    </w:p>
    <w:p>
      <w:r>
        <w:rPr>
          <w:b/>
        </w:rPr>
        <w:t xml:space="preserve">para</w:t>
      </w:r>
      <w:r>
        <w:t xml:space="preserve"> cumplir con la regulación de prevención de lavado de activos.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validación se ejecuta automáticamente al completar la verificación de identidad.</w:t>
      </w:r>
    </w:p>
    <w:p>
      <w:pPr>
        <w:pStyle w:val="ListBullet"/>
        <w:numPr>
          <w:ilvl w:val="0"/>
          <w:numId w:val="1"/>
        </w:numPr>
      </w:pPr>
      <w:r>
        <w:t xml:space="preserve">Una coincidencia positiva bloquea el onboarding y genera un caso para revisión del oficial de cumplimiento.</w:t>
      </w:r>
    </w:p>
    <w:p>
      <w:pPr>
        <w:pStyle w:val="ListBullet"/>
        <w:numPr>
          <w:ilvl w:val="0"/>
          <w:numId w:val="1"/>
        </w:numPr>
      </w:pPr>
      <w:r>
        <w:t xml:space="preserve">El resultado de la consulta queda registrado con fecha, fuente consultada y resultado.</w:t>
      </w:r>
    </w:p>
    <w:p>
      <w:pPr>
        <w:pStyle w:val="ListBullet"/>
        <w:numPr>
          <w:ilvl w:val="0"/>
          <w:numId w:val="1"/>
        </w:numPr>
      </w:pPr>
      <w:r>
        <w:t xml:space="preserve">La consulta se reintenta con degradación controlada si el proveedor externo no responde, sin dejar pasar al cliente sin validar.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ASR-1.2 · </w:t>
      </w:r>
      <w:r>
        <w:rPr>
          <w:b/>
        </w:rPr>
        <w:t xml:space="preserve">Función padre:</w:t>
      </w:r>
      <w:r>
        <w:t xml:space="preserve"> SOL-10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FE-05.4 — Otorgar consentimiento Open Finance desde el móvil</w:t>
      </w:r>
    </w:p>
    <w:p>
      <w:r>
        <w:rPr>
          <w:b/>
        </w:rPr>
        <w:t xml:space="preserve">Como</w:t>
      </w:r>
      <w:r>
        <w:t xml:space="preserve"> cliente que completó su onboarding en la app,</w:t>
      </w:r>
    </w:p>
    <w:p>
      <w:r>
        <w:rPr>
          <w:b/>
        </w:rPr>
        <w:t xml:space="preserve">quiero</w:t>
      </w:r>
      <w:r>
        <w:t xml:space="preserve"> autorizar la consulta de mi información financiera desde el móvil,</w:t>
      </w:r>
    </w:p>
    <w:p>
      <w:r>
        <w:rPr>
          <w:b/>
        </w:rPr>
        <w:t xml:space="preserve">para</w:t>
      </w:r>
      <w:r>
        <w:t xml:space="preserve"> acceder a primas personalizadas.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presenta el mismo alcance y finalidad que en el canal web, con el mismo texto legal versionado.</w:t>
      </w:r>
    </w:p>
    <w:p>
      <w:pPr>
        <w:pStyle w:val="ListBullet"/>
        <w:numPr>
          <w:ilvl w:val="0"/>
          <w:numId w:val="1"/>
        </w:numPr>
      </w:pPr>
      <w:r>
        <w:t xml:space="preserve">El consentimiento otorgado en móvil es válido en web y viceversa: es único por cliente, no por canal.</w:t>
      </w:r>
    </w:p>
    <w:p>
      <w:pPr>
        <w:pStyle w:val="ListBullet"/>
        <w:numPr>
          <w:ilvl w:val="0"/>
          <w:numId w:val="1"/>
        </w:numPr>
      </w:pPr>
      <w:r>
        <w:t xml:space="preserve">El cliente puede consultar y revocar sus consentimientos activos desde la app.</w:t>
      </w:r>
    </w:p>
    <w:p>
      <w:pPr>
        <w:pStyle w:val="ListBullet"/>
        <w:numPr>
          <w:ilvl w:val="0"/>
          <w:numId w:val="1"/>
        </w:numPr>
      </w:pPr>
      <w:r>
        <w:t xml:space="preserve">La revocación surte efecto en menos de 5 minutos en todos los canales.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SOL-10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FE-05.5 — Iniciar sesión con la biometría del dispositivo</w:t>
      </w:r>
    </w:p>
    <w:p>
      <w:r>
        <w:rPr>
          <w:b/>
        </w:rPr>
        <w:t xml:space="preserve">Como</w:t>
      </w:r>
      <w:r>
        <w:t xml:space="preserve"> cliente con onboarding completado,</w:t>
      </w:r>
    </w:p>
    <w:p>
      <w:r>
        <w:rPr>
          <w:b/>
        </w:rPr>
        <w:t xml:space="preserve">quiero</w:t>
      </w:r>
      <w:r>
        <w:t xml:space="preserve"> entrar a la app con mi huella o rostro,</w:t>
      </w:r>
    </w:p>
    <w:p>
      <w:r>
        <w:rPr>
          <w:b/>
        </w:rPr>
        <w:t xml:space="preserve">para</w:t>
      </w:r>
      <w:r>
        <w:t xml:space="preserve"> acceder rápido sin escribir contraseña cada vez.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usa el mecanismo biométrico nativo del sistema operativo; no implementa comparación biométrica propia.</w:t>
      </w:r>
    </w:p>
    <w:p>
      <w:pPr>
        <w:pStyle w:val="ListBullet"/>
        <w:numPr>
          <w:ilvl w:val="0"/>
          <w:numId w:val="1"/>
        </w:numPr>
      </w:pPr>
      <w:r>
        <w:t xml:space="preserve">Si la biometría falla o no está disponible, se ofrece el ingreso con contraseña como alternativa.</w:t>
      </w:r>
    </w:p>
    <w:p>
      <w:pPr>
        <w:pStyle w:val="ListBullet"/>
        <w:numPr>
          <w:ilvl w:val="0"/>
          <w:numId w:val="1"/>
        </w:numPr>
      </w:pPr>
      <w:r>
        <w:t xml:space="preserve">La credencial que habilita el ingreso biométrico se almacena en el almacén seguro del dispositivo.</w:t>
      </w:r>
    </w:p>
    <w:p>
      <w:pPr>
        <w:pStyle w:val="ListBullet"/>
        <w:numPr>
          <w:ilvl w:val="0"/>
          <w:numId w:val="1"/>
        </w:numPr>
      </w:pPr>
      <w:r>
        <w:t xml:space="preserve">Al cambiar la biometría registrada en el dispositivo, se invalida la credencial y se exige reautenticación completa.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SOL-10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FE-05.6 — Reintentar el onboarding tras un rechazo</w:t>
      </w:r>
    </w:p>
    <w:p>
      <w:r>
        <w:rPr>
          <w:b/>
        </w:rPr>
        <w:t xml:space="preserve">Como</w:t>
      </w:r>
      <w:r>
        <w:t xml:space="preserve"> cliente cuyo onboarding fue rechazado,</w:t>
      </w:r>
    </w:p>
    <w:p>
      <w:r>
        <w:rPr>
          <w:b/>
        </w:rPr>
        <w:t xml:space="preserve">quiero</w:t>
      </w:r>
      <w:r>
        <w:t xml:space="preserve"> entender por qué y poder intentarlo de nuevo,</w:t>
      </w:r>
    </w:p>
    <w:p>
      <w:r>
        <w:rPr>
          <w:b/>
        </w:rPr>
        <w:t xml:space="preserve">para</w:t>
      </w:r>
      <w:r>
        <w:t xml:space="preserve"> no quedarme sin poder usar el servicio.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informa al cliente el motivo del rechazo en lenguaje claro, sin exponer detalles del mecanismo de detección.</w:t>
      </w:r>
    </w:p>
    <w:p>
      <w:pPr>
        <w:pStyle w:val="ListBullet"/>
        <w:numPr>
          <w:ilvl w:val="0"/>
          <w:numId w:val="1"/>
        </w:numPr>
      </w:pPr>
      <w:r>
        <w:t xml:space="preserve">El cliente puede reintentar desde el paso que falló, sin repetir los pasos ya superados.</w:t>
      </w:r>
    </w:p>
    <w:p>
      <w:pPr>
        <w:pStyle w:val="ListBullet"/>
        <w:numPr>
          <w:ilvl w:val="0"/>
          <w:numId w:val="1"/>
        </w:numPr>
      </w:pPr>
      <w:r>
        <w:t xml:space="preserve">Se limita el número de reintentos en una ventana de tiempo y se registra cada intento.</w:t>
      </w:r>
    </w:p>
    <w:p>
      <w:pPr>
        <w:pStyle w:val="ListBullet"/>
        <w:numPr>
          <w:ilvl w:val="0"/>
          <w:numId w:val="1"/>
        </w:numPr>
      </w:pPr>
      <w:r>
        <w:t xml:space="preserve">Superado el límite, el caso se deriva a atención humana.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SOL-10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EP-04 · Siniestros y asistencia Móvil (SOL-8) — Funciones FE-07 y FE-08 · 9 historias · 22 SP</w:t>
      </w:r>
    </w:p>
    <w:p>
      <w:r>
        <w:rPr>
          <w:i/>
        </w:rPr>
        <w:t xml:space="preserve">Deriva de las historias originales SOL-11 (Billetera de pólizas, 5 SP), SOL-12 (Reporte de siniestros con evidencia, 5 SP) y SOL-13 (Notificaciones y asistencia geolocalizada, 5 SP).</w:t>
      </w:r>
    </w:p>
    <w:p>
      <w:pPr>
        <w:pStyle w:val="Heading4"/>
      </w:pPr>
      <w:r>
        <w:t xml:space="preserve">FE-06.1 — Ver las pólizas activas en la billetera</w:t>
      </w:r>
    </w:p>
    <w:p>
      <w:r>
        <w:rPr>
          <w:b/>
        </w:rPr>
        <w:t xml:space="preserve">Como</w:t>
      </w:r>
      <w:r>
        <w:t xml:space="preserve"> cliente asegurado con la app instalada,</w:t>
      </w:r>
    </w:p>
    <w:p>
      <w:r>
        <w:rPr>
          <w:b/>
        </w:rPr>
        <w:t xml:space="preserve">quiero</w:t>
      </w:r>
      <w:r>
        <w:t xml:space="preserve"> ver mis pólizas activas en la billetera,</w:t>
      </w:r>
    </w:p>
    <w:p>
      <w:r>
        <w:rPr>
          <w:b/>
        </w:rPr>
        <w:t xml:space="preserve">para</w:t>
      </w:r>
      <w:r>
        <w:t xml:space="preserve"> tenerlas siempre a la mano.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billetera lista las pólizas vigentes con número, ramo, vigencia y estado.</w:t>
      </w:r>
    </w:p>
    <w:p>
      <w:pPr>
        <w:pStyle w:val="ListBullet"/>
        <w:numPr>
          <w:ilvl w:val="0"/>
          <w:numId w:val="1"/>
        </w:numPr>
      </w:pPr>
      <w:r>
        <w:t xml:space="preserve">Cada póliza muestra su certificado accesible con un toque.</w:t>
      </w:r>
    </w:p>
    <w:p>
      <w:pPr>
        <w:pStyle w:val="ListBullet"/>
        <w:numPr>
          <w:ilvl w:val="0"/>
          <w:numId w:val="1"/>
        </w:numPr>
      </w:pPr>
      <w:r>
        <w:t xml:space="preserve">La billetera se actualiza automáticamente cuando se emite o modifica una póliza.</w:t>
      </w:r>
    </w:p>
    <w:p>
      <w:pPr>
        <w:pStyle w:val="ListBullet"/>
        <w:numPr>
          <w:ilvl w:val="0"/>
          <w:numId w:val="1"/>
        </w:numPr>
      </w:pPr>
      <w:r>
        <w:t xml:space="preserve">Solo se muestran las pólizas del cliente autenticado en la sesión.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ASR-3.3 · </w:t>
      </w:r>
      <w:r>
        <w:rPr>
          <w:b/>
        </w:rPr>
        <w:t xml:space="preserve">Función padre:</w:t>
      </w:r>
      <w:r>
        <w:t xml:space="preserve"> SOL-11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FE-06.2 — Consultar las pólizas sin conexión</w:t>
      </w:r>
    </w:p>
    <w:p>
      <w:r>
        <w:rPr>
          <w:b/>
        </w:rPr>
        <w:t xml:space="preserve">Como</w:t>
      </w:r>
      <w:r>
        <w:t xml:space="preserve"> cliente asegurado sin señal de datos,</w:t>
      </w:r>
    </w:p>
    <w:p>
      <w:r>
        <w:rPr>
          <w:b/>
        </w:rPr>
        <w:t xml:space="preserve">quiero</w:t>
      </w:r>
      <w:r>
        <w:t xml:space="preserve"> consultar mis pólizas de todos modos,</w:t>
      </w:r>
    </w:p>
    <w:p>
      <w:r>
        <w:rPr>
          <w:b/>
        </w:rPr>
        <w:t xml:space="preserve">para</w:t>
      </w:r>
      <w:r>
        <w:t xml:space="preserve"> poder mostrar mi cobertura cuando la necesito, aunque no tenga internet.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100% de las consultas de póliza está disponible sin conexión una vez sincronizada la billetera.</w:t>
      </w:r>
    </w:p>
    <w:p>
      <w:pPr>
        <w:pStyle w:val="ListBullet"/>
        <w:numPr>
          <w:ilvl w:val="0"/>
          <w:numId w:val="1"/>
        </w:numPr>
      </w:pPr>
      <w:r>
        <w:t xml:space="preserve">Los datos se almacenan cifrados en el dispositivo; no quedan accesibles a otras aplicaciones.</w:t>
      </w:r>
    </w:p>
    <w:p>
      <w:pPr>
        <w:pStyle w:val="ListBullet"/>
        <w:numPr>
          <w:ilvl w:val="0"/>
          <w:numId w:val="1"/>
        </w:numPr>
      </w:pPr>
      <w:r>
        <w:t xml:space="preserve">Se muestra número, vigencia y coberturas sin requerir conexión.</w:t>
      </w:r>
    </w:p>
    <w:p>
      <w:pPr>
        <w:pStyle w:val="ListBullet"/>
        <w:numPr>
          <w:ilvl w:val="0"/>
          <w:numId w:val="1"/>
        </w:numPr>
      </w:pPr>
      <w:r>
        <w:t xml:space="preserve">El almacenamiento local no conserva más información personal de la estrictamente necesaria para mostrar la póliza.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Alta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ASR-3.3 · </w:t>
      </w:r>
      <w:r>
        <w:rPr>
          <w:b/>
        </w:rPr>
        <w:t xml:space="preserve">Función padre:</w:t>
      </w:r>
      <w:r>
        <w:t xml:space="preserve"> SOL-11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FE-06.3 — Descargar el certificado al dispositivo</w:t>
      </w:r>
    </w:p>
    <w:p>
      <w:r>
        <w:rPr>
          <w:b/>
        </w:rPr>
        <w:t xml:space="preserve">Como</w:t>
      </w:r>
      <w:r>
        <w:t xml:space="preserve"> cliente asegurado,</w:t>
      </w:r>
    </w:p>
    <w:p>
      <w:r>
        <w:rPr>
          <w:b/>
        </w:rPr>
        <w:t xml:space="preserve">quiero</w:t>
      </w:r>
      <w:r>
        <w:t xml:space="preserve"> guardar el certificado de mi póliza en el dispositivo,</w:t>
      </w:r>
    </w:p>
    <w:p>
      <w:r>
        <w:rPr>
          <w:b/>
        </w:rPr>
        <w:t xml:space="preserve">para</w:t>
      </w:r>
      <w:r>
        <w:t xml:space="preserve"> compartirlo cuando alguien me lo pida.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certificado se descarga en PDF y se puede compartir por los mecanismos nativos del sistema.</w:t>
      </w:r>
    </w:p>
    <w:p>
      <w:pPr>
        <w:pStyle w:val="ListBullet"/>
        <w:numPr>
          <w:ilvl w:val="0"/>
          <w:numId w:val="1"/>
        </w:numPr>
      </w:pPr>
      <w:r>
        <w:t xml:space="preserve">Antes de entregarlo, la app verifica la firma digital del documento.</w:t>
      </w:r>
    </w:p>
    <w:p>
      <w:pPr>
        <w:pStyle w:val="ListBullet"/>
        <w:numPr>
          <w:ilvl w:val="0"/>
          <w:numId w:val="1"/>
        </w:numPr>
      </w:pPr>
      <w:r>
        <w:t xml:space="preserve">La descarga funciona sin conexión si el certificado ya fue sincronizado.</w:t>
      </w:r>
    </w:p>
    <w:p>
      <w:pPr>
        <w:pStyle w:val="ListBullet"/>
        <w:numPr>
          <w:ilvl w:val="0"/>
          <w:numId w:val="1"/>
        </w:numPr>
      </w:pPr>
      <w:r>
        <w:t xml:space="preserve">El certificado descargado conserva la firma digital verificable por terceros.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ASR-4.2 · </w:t>
      </w:r>
      <w:r>
        <w:rPr>
          <w:b/>
        </w:rPr>
        <w:t xml:space="preserve">Función padre:</w:t>
      </w:r>
      <w:r>
        <w:t xml:space="preserve"> SOL-11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FE-06.4 — Sincronizar al recuperar conectividad</w:t>
      </w:r>
    </w:p>
    <w:p>
      <w:r>
        <w:rPr>
          <w:b/>
        </w:rPr>
        <w:t xml:space="preserve">Como</w:t>
      </w:r>
      <w:r>
        <w:t xml:space="preserve"> cliente que recupera la señal después de estar sin conexión,</w:t>
      </w:r>
    </w:p>
    <w:p>
      <w:r>
        <w:rPr>
          <w:b/>
        </w:rPr>
        <w:t xml:space="preserve">quiero</w:t>
      </w:r>
      <w:r>
        <w:t xml:space="preserve"> que mis datos se actualicen solos,</w:t>
      </w:r>
    </w:p>
    <w:p>
      <w:r>
        <w:rPr>
          <w:b/>
        </w:rPr>
        <w:t xml:space="preserve">para</w:t>
      </w:r>
      <w:r>
        <w:t xml:space="preserve"> ver siempre información vigente sin tener que hacer nada.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sincronización se dispara automáticamente al detectar conectividad, sin intervención del usuario.</w:t>
      </w:r>
    </w:p>
    <w:p>
      <w:pPr>
        <w:pStyle w:val="ListBullet"/>
        <w:numPr>
          <w:ilvl w:val="0"/>
          <w:numId w:val="1"/>
        </w:numPr>
      </w:pPr>
      <w:r>
        <w:t xml:space="preserve">La sincronización completa toma 10 segundos o menos en condiciones normales de red.</w:t>
      </w:r>
    </w:p>
    <w:p>
      <w:pPr>
        <w:pStyle w:val="ListBullet"/>
        <w:numPr>
          <w:ilvl w:val="0"/>
          <w:numId w:val="1"/>
        </w:numPr>
      </w:pPr>
      <w:r>
        <w:t xml:space="preserve">Las acciones realizadas sin conexión se envían al servidor en el orden en que se ejecutaron.</w:t>
      </w:r>
    </w:p>
    <w:p>
      <w:pPr>
        <w:pStyle w:val="ListBullet"/>
        <w:numPr>
          <w:ilvl w:val="0"/>
          <w:numId w:val="1"/>
        </w:numPr>
      </w:pPr>
      <w:r>
        <w:t xml:space="preserve">Si un dato cambió en el servidor y en el dispositivo, prevalece el del servidor y se informa al cliente.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ASR-3.3 · </w:t>
      </w:r>
      <w:r>
        <w:rPr>
          <w:b/>
        </w:rPr>
        <w:t xml:space="preserve">Función padre:</w:t>
      </w:r>
      <w:r>
        <w:t xml:space="preserve"> SOL-11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FE-06.5 — Ver alerta de datos desactualizados</w:t>
      </w:r>
    </w:p>
    <w:p>
      <w:r>
        <w:rPr>
          <w:b/>
        </w:rPr>
        <w:t xml:space="preserve">Como</w:t>
      </w:r>
      <w:r>
        <w:t xml:space="preserve"> cliente que lleva mucho tiempo sin conexión,</w:t>
      </w:r>
    </w:p>
    <w:p>
      <w:r>
        <w:rPr>
          <w:b/>
        </w:rPr>
        <w:t xml:space="preserve">quiero</w:t>
      </w:r>
      <w:r>
        <w:t xml:space="preserve"> saber si la información que veo puede estar desactualizada,</w:t>
      </w:r>
    </w:p>
    <w:p>
      <w:r>
        <w:rPr>
          <w:b/>
        </w:rPr>
        <w:t xml:space="preserve">para</w:t>
      </w:r>
      <w:r>
        <w:t xml:space="preserve"> no confiarme de datos viejos.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Los datos almacenados localmente tienen una vigencia de 24 horas.</w:t>
      </w:r>
    </w:p>
    <w:p>
      <w:pPr>
        <w:pStyle w:val="ListBullet"/>
        <w:numPr>
          <w:ilvl w:val="0"/>
          <w:numId w:val="1"/>
        </w:numPr>
      </w:pPr>
      <w:r>
        <w:t xml:space="preserve">Superada la vigencia, la app muestra un aviso visible indicando que los datos pueden no estar actualizados.</w:t>
      </w:r>
    </w:p>
    <w:p>
      <w:pPr>
        <w:pStyle w:val="ListBullet"/>
        <w:numPr>
          <w:ilvl w:val="0"/>
          <w:numId w:val="1"/>
        </w:numPr>
      </w:pPr>
      <w:r>
        <w:t xml:space="preserve">El aviso no bloquea la consulta: el cliente sigue viendo su póliza.</w:t>
      </w:r>
    </w:p>
    <w:p>
      <w:pPr>
        <w:pStyle w:val="ListBullet"/>
        <w:numPr>
          <w:ilvl w:val="0"/>
          <w:numId w:val="1"/>
        </w:numPr>
      </w:pPr>
      <w:r>
        <w:t xml:space="preserve">Al sincronizar, el aviso desaparece y se actualiza la marca de tiempo.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ASR-3.3 · </w:t>
      </w:r>
      <w:r>
        <w:rPr>
          <w:b/>
        </w:rPr>
        <w:t xml:space="preserve">Función padre:</w:t>
      </w:r>
      <w:r>
        <w:t xml:space="preserve"> SOL-11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FE-08.1 — Reportar un siniestro con fotografías</w:t>
      </w:r>
    </w:p>
    <w:p>
      <w:r>
        <w:rPr>
          <w:b/>
        </w:rPr>
        <w:t xml:space="preserve">Como</w:t>
      </w:r>
      <w:r>
        <w:t xml:space="preserve"> cliente asegurado que acaba de sufrir un siniestro,</w:t>
      </w:r>
    </w:p>
    <w:p>
      <w:r>
        <w:rPr>
          <w:b/>
        </w:rPr>
        <w:t xml:space="preserve">quiero</w:t>
      </w:r>
      <w:r>
        <w:t xml:space="preserve"> reportarlo desde la app tomando fotos en el momento,</w:t>
      </w:r>
    </w:p>
    <w:p>
      <w:r>
        <w:rPr>
          <w:b/>
        </w:rPr>
        <w:t xml:space="preserve">para</w:t>
      </w:r>
      <w:r>
        <w:t xml:space="preserve"> dejar registro inmediato de lo ocurrido.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permite tomar fotos desde la cámara o seleccionarlas de la galería, con un máximo definido por siniestro.</w:t>
      </w:r>
    </w:p>
    <w:p>
      <w:pPr>
        <w:pStyle w:val="ListBullet"/>
        <w:numPr>
          <w:ilvl w:val="0"/>
          <w:numId w:val="1"/>
        </w:numPr>
      </w:pPr>
      <w:r>
        <w:t xml:space="preserve">Cada imagen se comprime antes de enviarse para no consumir datos en exceso.</w:t>
      </w:r>
    </w:p>
    <w:p>
      <w:pPr>
        <w:pStyle w:val="ListBullet"/>
        <w:numPr>
          <w:ilvl w:val="0"/>
          <w:numId w:val="1"/>
        </w:numPr>
      </w:pPr>
      <w:r>
        <w:t xml:space="preserve">Las imágenes se transmiten cifradas y quedan asociadas al siniestro.</w:t>
      </w:r>
    </w:p>
    <w:p>
      <w:pPr>
        <w:pStyle w:val="ListBullet"/>
        <w:numPr>
          <w:ilvl w:val="0"/>
          <w:numId w:val="1"/>
        </w:numPr>
      </w:pPr>
      <w:r>
        <w:t xml:space="preserve">Se muestra el progreso de carga y se puede continuar el reporte mientras las imágenes suben.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SOL-12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FE-08.2 — Adjuntar la ubicación del evento</w:t>
      </w:r>
    </w:p>
    <w:p>
      <w:r>
        <w:rPr>
          <w:b/>
        </w:rPr>
        <w:t xml:space="preserve">Como</w:t>
      </w:r>
      <w:r>
        <w:t xml:space="preserve"> cliente que reporta un siniestro,</w:t>
      </w:r>
    </w:p>
    <w:p>
      <w:r>
        <w:rPr>
          <w:b/>
        </w:rPr>
        <w:t xml:space="preserve">quiero</w:t>
      </w:r>
      <w:r>
        <w:t xml:space="preserve"> que se registre dónde ocurrió,</w:t>
      </w:r>
    </w:p>
    <w:p>
      <w:r>
        <w:rPr>
          <w:b/>
        </w:rPr>
        <w:t xml:space="preserve">para</w:t>
      </w:r>
      <w:r>
        <w:t xml:space="preserve"> que el análisis del caso sea más rápido y preciso.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solicita permiso de ubicación explicando para qué se usará, y funciona aunque el cliente lo niegue.</w:t>
      </w:r>
    </w:p>
    <w:p>
      <w:pPr>
        <w:pStyle w:val="ListBullet"/>
        <w:numPr>
          <w:ilvl w:val="0"/>
          <w:numId w:val="1"/>
        </w:numPr>
      </w:pPr>
      <w:r>
        <w:t xml:space="preserve">Si se otorga el permiso, se captura la ubicación en el momento del reporte con su precisión.</w:t>
      </w:r>
    </w:p>
    <w:p>
      <w:pPr>
        <w:pStyle w:val="ListBullet"/>
        <w:numPr>
          <w:ilvl w:val="0"/>
          <w:numId w:val="1"/>
        </w:numPr>
      </w:pPr>
      <w:r>
        <w:t xml:space="preserve">El cliente puede corregir manualmente la ubicación si la detectada no es correcta.</w:t>
      </w:r>
    </w:p>
    <w:p>
      <w:pPr>
        <w:pStyle w:val="ListBullet"/>
        <w:numPr>
          <w:ilvl w:val="0"/>
          <w:numId w:val="1"/>
        </w:numPr>
      </w:pPr>
      <w:r>
        <w:t xml:space="preserve">La ubicación queda asociada al siniestro y es visible para el analista.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SOL-12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FE-08.3 — Describir el siniestro por voz o texto</w:t>
      </w:r>
    </w:p>
    <w:p>
      <w:r>
        <w:rPr>
          <w:b/>
        </w:rPr>
        <w:t xml:space="preserve">Como</w:t>
      </w:r>
      <w:r>
        <w:t xml:space="preserve"> cliente que reporta un siniestro en una situación de estrés,</w:t>
      </w:r>
    </w:p>
    <w:p>
      <w:r>
        <w:rPr>
          <w:b/>
        </w:rPr>
        <w:t xml:space="preserve">quiero</w:t>
      </w:r>
      <w:r>
        <w:t xml:space="preserve"> poder describir lo ocurrido hablando en lugar de escribiendo,</w:t>
      </w:r>
    </w:p>
    <w:p>
      <w:r>
        <w:rPr>
          <w:b/>
        </w:rPr>
        <w:t xml:space="preserve">para</w:t>
      </w:r>
      <w:r>
        <w:t xml:space="preserve"> reportar más rápido y con menos fricción.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permite grabar una descripción por voz o escribirla en texto, a elección del cliente.</w:t>
      </w:r>
    </w:p>
    <w:p>
      <w:pPr>
        <w:pStyle w:val="ListBullet"/>
        <w:numPr>
          <w:ilvl w:val="0"/>
          <w:numId w:val="1"/>
        </w:numPr>
      </w:pPr>
      <w:r>
        <w:t xml:space="preserve">La grabación de voz se transcribe automáticamente y el cliente puede corregir la transcripción.</w:t>
      </w:r>
    </w:p>
    <w:p>
      <w:pPr>
        <w:pStyle w:val="ListBullet"/>
        <w:numPr>
          <w:ilvl w:val="0"/>
          <w:numId w:val="1"/>
        </w:numPr>
      </w:pPr>
      <w:r>
        <w:t xml:space="preserve">Tanto el audio como la transcripción quedan asociados al siniestro.</w:t>
      </w:r>
    </w:p>
    <w:p>
      <w:pPr>
        <w:pStyle w:val="ListBullet"/>
        <w:numPr>
          <w:ilvl w:val="0"/>
          <w:numId w:val="1"/>
        </w:numPr>
      </w:pPr>
      <w:r>
        <w:t xml:space="preserve">Existe un límite de duración de la grabación, comunicado al cliente antes de grabar.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SOL-12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FE-08.4 — Enviar el reporte en modo diferido</w:t>
      </w:r>
    </w:p>
    <w:p>
      <w:r>
        <w:rPr>
          <w:b/>
        </w:rPr>
        <w:t xml:space="preserve">Como</w:t>
      </w:r>
      <w:r>
        <w:t xml:space="preserve"> cliente que sufrió un siniestro en una zona sin señal,</w:t>
      </w:r>
    </w:p>
    <w:p>
      <w:r>
        <w:rPr>
          <w:b/>
        </w:rPr>
        <w:t xml:space="preserve">quiero</w:t>
      </w:r>
      <w:r>
        <w:t xml:space="preserve"> completar el reporte de todos modos y que se envíe cuando haya conexión,</w:t>
      </w:r>
    </w:p>
    <w:p>
      <w:r>
        <w:rPr>
          <w:b/>
        </w:rPr>
        <w:t xml:space="preserve">para</w:t>
      </w:r>
      <w:r>
        <w:t xml:space="preserve"> no perder el registro del momento en que ocurrió.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reporte completo, incluidas fotografías, se guarda cifrado en el dispositivo cuando no hay conexión.</w:t>
      </w:r>
    </w:p>
    <w:p>
      <w:pPr>
        <w:pStyle w:val="ListBullet"/>
        <w:numPr>
          <w:ilvl w:val="0"/>
          <w:numId w:val="1"/>
        </w:numPr>
      </w:pPr>
      <w:r>
        <w:t xml:space="preserve">Se conserva la fecha y hora reales del evento, no la del momento del envío.</w:t>
      </w:r>
    </w:p>
    <w:p>
      <w:pPr>
        <w:pStyle w:val="ListBullet"/>
        <w:numPr>
          <w:ilvl w:val="0"/>
          <w:numId w:val="1"/>
        </w:numPr>
      </w:pPr>
      <w:r>
        <w:t xml:space="preserve">Al recuperar conectividad, el reporte se envía automáticamente y el cliente recibe confirmación.</w:t>
      </w:r>
    </w:p>
    <w:p>
      <w:pPr>
        <w:pStyle w:val="ListBullet"/>
        <w:numPr>
          <w:ilvl w:val="0"/>
          <w:numId w:val="1"/>
        </w:numPr>
      </w:pPr>
      <w:r>
        <w:t xml:space="preserve">Si el envío falla, se reintenta con espera creciente y se informa al cliente el estado.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ASR-3.3 · </w:t>
      </w:r>
      <w:r>
        <w:rPr>
          <w:b/>
        </w:rPr>
        <w:t xml:space="preserve">Función padre:</w:t>
      </w:r>
      <w:r>
        <w:t xml:space="preserve"> SOL-12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FE-08.5 — Seguir el estado del siniestro desde el móvil</w:t>
      </w:r>
    </w:p>
    <w:p>
      <w:r>
        <w:rPr>
          <w:b/>
        </w:rPr>
        <w:t xml:space="preserve">Como</w:t>
      </w:r>
      <w:r>
        <w:t xml:space="preserve"> cliente con un siniestro reportado desde la app,</w:t>
      </w:r>
    </w:p>
    <w:p>
      <w:r>
        <w:rPr>
          <w:b/>
        </w:rPr>
        <w:t xml:space="preserve">quiero</w:t>
      </w:r>
      <w:r>
        <w:t xml:space="preserve"> ver en qué va mi reclamación,</w:t>
      </w:r>
    </w:p>
    <w:p>
      <w:r>
        <w:rPr>
          <w:b/>
        </w:rPr>
        <w:t xml:space="preserve">para</w:t>
      </w:r>
      <w:r>
        <w:t xml:space="preserve"> estar tranquilo y saber si debo hacer algo.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muestra la etapa actual y el histórico de cambios de estado.</w:t>
      </w:r>
    </w:p>
    <w:p>
      <w:pPr>
        <w:pStyle w:val="ListBullet"/>
        <w:numPr>
          <w:ilvl w:val="0"/>
          <w:numId w:val="1"/>
        </w:numPr>
      </w:pPr>
      <w:r>
        <w:t xml:space="preserve">Si se requiere una acción del cliente, se destaca y se puede resolver desde la app.</w:t>
      </w:r>
    </w:p>
    <w:p>
      <w:pPr>
        <w:pStyle w:val="ListBullet"/>
        <w:numPr>
          <w:ilvl w:val="0"/>
          <w:numId w:val="1"/>
        </w:numPr>
      </w:pPr>
      <w:r>
        <w:t xml:space="preserve">Cada cambio de estado genera una notificación al dispositivo.</w:t>
      </w:r>
    </w:p>
    <w:p>
      <w:pPr>
        <w:pStyle w:val="ListBullet"/>
        <w:numPr>
          <w:ilvl w:val="0"/>
          <w:numId w:val="1"/>
        </w:numPr>
      </w:pPr>
      <w:r>
        <w:t xml:space="preserve">El estado se consulta desde caché cuando no hay conexión, con marca de última actualización.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ASR-3.3 · </w:t>
      </w:r>
      <w:r>
        <w:rPr>
          <w:b/>
        </w:rPr>
        <w:t xml:space="preserve">Función padre:</w:t>
      </w:r>
      <w:r>
        <w:t xml:space="preserve"> SOL-12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FE-07.1 — Recibir notificaciones de póliza y siniestro</w:t>
      </w:r>
    </w:p>
    <w:p>
      <w:r>
        <w:rPr>
          <w:b/>
        </w:rPr>
        <w:t xml:space="preserve">Como</w:t>
      </w:r>
      <w:r>
        <w:t xml:space="preserve"> cliente asegurado,</w:t>
      </w:r>
    </w:p>
    <w:p>
      <w:r>
        <w:rPr>
          <w:b/>
        </w:rPr>
        <w:t xml:space="preserve">quiero</w:t>
      </w:r>
      <w:r>
        <w:t xml:space="preserve"> recibir avisos de lo que pasa con mis pólizas y siniestros,</w:t>
      </w:r>
    </w:p>
    <w:p>
      <w:r>
        <w:rPr>
          <w:b/>
        </w:rPr>
        <w:t xml:space="preserve">para</w:t>
      </w:r>
      <w:r>
        <w:t xml:space="preserve"> enterarme sin tener que revisar la app.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Se notifican al menos: emisión de póliza, próximo vencimiento, cambio de estado de siniestro y vencimiento de pago.</w:t>
      </w:r>
    </w:p>
    <w:p>
      <w:pPr>
        <w:pStyle w:val="ListBullet"/>
        <w:numPr>
          <w:ilvl w:val="0"/>
          <w:numId w:val="1"/>
        </w:numPr>
      </w:pPr>
      <w:r>
        <w:t xml:space="preserve">La notificación no incluye información personal sensible en el texto visible en pantalla bloqueada.</w:t>
      </w:r>
    </w:p>
    <w:p>
      <w:pPr>
        <w:pStyle w:val="ListBullet"/>
        <w:numPr>
          <w:ilvl w:val="0"/>
          <w:numId w:val="1"/>
        </w:numPr>
      </w:pPr>
      <w:r>
        <w:t xml:space="preserve">Al tocar la notificación, la app abre directamente en la pantalla correspondiente.</w:t>
      </w:r>
    </w:p>
    <w:p>
      <w:pPr>
        <w:pStyle w:val="ListBullet"/>
        <w:numPr>
          <w:ilvl w:val="0"/>
          <w:numId w:val="1"/>
        </w:numPr>
      </w:pPr>
      <w:r>
        <w:t xml:space="preserve">Si el envío falla, el aviso queda igualmente disponible en el centro de notificaciones dentro de la app.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Media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FE-07.2 — Configurar las preferencias de notificación</w:t>
      </w:r>
    </w:p>
    <w:p>
      <w:r>
        <w:rPr>
          <w:b/>
        </w:rPr>
        <w:t xml:space="preserve">Como</w:t>
      </w:r>
      <w:r>
        <w:t xml:space="preserve"> cliente que no quiere recibir todos los avisos,</w:t>
      </w:r>
    </w:p>
    <w:p>
      <w:r>
        <w:rPr>
          <w:b/>
        </w:rPr>
        <w:t xml:space="preserve">quiero</w:t>
      </w:r>
      <w:r>
        <w:t xml:space="preserve"> elegir qué notificaciones recibir,</w:t>
      </w:r>
    </w:p>
    <w:p>
      <w:r>
        <w:rPr>
          <w:b/>
        </w:rPr>
        <w:t xml:space="preserve">para</w:t>
      </w:r>
      <w:r>
        <w:t xml:space="preserve"> que la app no me moleste con lo que no me interesa.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cliente puede activar o desactivar cada categoría de notificación de forma independiente.</w:t>
      </w:r>
    </w:p>
    <w:p>
      <w:pPr>
        <w:pStyle w:val="ListBullet"/>
        <w:numPr>
          <w:ilvl w:val="0"/>
          <w:numId w:val="1"/>
        </w:numPr>
      </w:pPr>
      <w:r>
        <w:t xml:space="preserve">Las notificaciones de carácter regulatorio u obligatorio no se pueden desactivar y se indica por qué.</w:t>
      </w:r>
    </w:p>
    <w:p>
      <w:pPr>
        <w:pStyle w:val="ListBullet"/>
        <w:numPr>
          <w:ilvl w:val="0"/>
          <w:numId w:val="1"/>
        </w:numPr>
      </w:pPr>
      <w:r>
        <w:t xml:space="preserve">Las preferencias se sincronizan con el servidor y aplican a todos los dispositivos del cliente.</w:t>
      </w:r>
    </w:p>
    <w:p>
      <w:pPr>
        <w:pStyle w:val="ListBullet"/>
        <w:numPr>
          <w:ilvl w:val="0"/>
          <w:numId w:val="1"/>
        </w:numPr>
      </w:pPr>
      <w:r>
        <w:t xml:space="preserve">El cambio de preferencias tiene efecto inmediato.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FE-07.3 — Solicitar asistencia geolocalizada</w:t>
      </w:r>
    </w:p>
    <w:p>
      <w:r>
        <w:rPr>
          <w:b/>
        </w:rPr>
        <w:t xml:space="preserve">Como</w:t>
      </w:r>
      <w:r>
        <w:t xml:space="preserve"> cliente que necesita ayuda en el lugar de un siniestro,</w:t>
      </w:r>
    </w:p>
    <w:p>
      <w:r>
        <w:rPr>
          <w:b/>
        </w:rPr>
        <w:t xml:space="preserve">quiero</w:t>
      </w:r>
      <w:r>
        <w:t xml:space="preserve"> solicitar asistencia y que sepan dónde estoy,</w:t>
      </w:r>
    </w:p>
    <w:p>
      <w:r>
        <w:rPr>
          <w:b/>
        </w:rPr>
        <w:t xml:space="preserve">para</w:t>
      </w:r>
      <w:r>
        <w:t xml:space="preserve"> que me atiendan rápido sin tener que explicar mi ubicación.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cliente solicita asistencia indicando el tipo de ayuda que necesita.</w:t>
      </w:r>
    </w:p>
    <w:p>
      <w:pPr>
        <w:pStyle w:val="ListBullet"/>
        <w:numPr>
          <w:ilvl w:val="0"/>
          <w:numId w:val="1"/>
        </w:numPr>
      </w:pPr>
      <w:r>
        <w:t xml:space="preserve">La solicitud incluye la ubicación actual si el cliente autorizó el permiso.</w:t>
      </w:r>
    </w:p>
    <w:p>
      <w:pPr>
        <w:pStyle w:val="ListBullet"/>
        <w:numPr>
          <w:ilvl w:val="0"/>
          <w:numId w:val="1"/>
        </w:numPr>
      </w:pPr>
      <w:r>
        <w:t xml:space="preserve">Se muestra al cliente el tiempo estimado de llegada y el estado de la solicitud.</w:t>
      </w:r>
    </w:p>
    <w:p>
      <w:pPr>
        <w:pStyle w:val="ListBullet"/>
        <w:numPr>
          <w:ilvl w:val="0"/>
          <w:numId w:val="1"/>
        </w:numPr>
      </w:pPr>
      <w:r>
        <w:t xml:space="preserve">La solicitud queda asociada a la póliza y al siniestro si existe uno abierto.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SOL-13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FE-07.4 — Contactar a un asesor desde la app</w:t>
      </w:r>
    </w:p>
    <w:p>
      <w:r>
        <w:rPr>
          <w:b/>
        </w:rPr>
        <w:t xml:space="preserve">Como</w:t>
      </w:r>
      <w:r>
        <w:t xml:space="preserve"> cliente con una duda sobre mi póliza,</w:t>
      </w:r>
    </w:p>
    <w:p>
      <w:r>
        <w:rPr>
          <w:b/>
        </w:rPr>
        <w:t xml:space="preserve">quiero</w:t>
      </w:r>
      <w:r>
        <w:t xml:space="preserve"> comunicarme con un asesor desde la app,</w:t>
      </w:r>
    </w:p>
    <w:p>
      <w:r>
        <w:rPr>
          <w:b/>
        </w:rPr>
        <w:t xml:space="preserve">para</w:t>
      </w:r>
      <w:r>
        <w:t xml:space="preserve"> resolver sin tener que llamar por teléfono.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app ofrece al menos un canal de contacto directo con un asesor.</w:t>
      </w:r>
    </w:p>
    <w:p>
      <w:pPr>
        <w:pStyle w:val="ListBullet"/>
        <w:numPr>
          <w:ilvl w:val="0"/>
          <w:numId w:val="1"/>
        </w:numPr>
      </w:pPr>
      <w:r>
        <w:t xml:space="preserve">La conversación llega con el contexto del cliente y su póliza ya cargado, sin que deba repetirlo.</w:t>
      </w:r>
    </w:p>
    <w:p>
      <w:pPr>
        <w:pStyle w:val="ListBullet"/>
        <w:numPr>
          <w:ilvl w:val="0"/>
          <w:numId w:val="1"/>
        </w:numPr>
      </w:pPr>
      <w:r>
        <w:t xml:space="preserve">Se indica el horario de atención y, fuera de él, se ofrece dejar el mensaje para respuesta posterior.</w:t>
      </w:r>
    </w:p>
    <w:p>
      <w:pPr>
        <w:pStyle w:val="ListBullet"/>
        <w:numPr>
          <w:ilvl w:val="0"/>
          <w:numId w:val="1"/>
        </w:numPr>
      </w:pPr>
      <w:r>
        <w:t xml:space="preserve">El histórico de conversaciones queda disponible para el cliente.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Móvil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SOL-13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EP-05 · Portal de Socios y Distribución (SOL-30) — Función FE-09 · 5 historias · 16 SP</w:t>
      </w:r>
    </w:p>
    <w:p>
      <w:r>
        <w:rPr>
          <w:i/>
        </w:rPr>
        <w:t xml:space="preserve">Deriva de la historia original SOL-31 (Portal de socios distribuidores API B2B, 8 SP).</w:t>
      </w:r>
    </w:p>
    <w:p>
      <w:pPr>
        <w:pStyle w:val="Heading4"/>
      </w:pPr>
      <w:r>
        <w:t xml:space="preserve">FE-09.1 — Registrar un socio distribuidor</w:t>
      </w:r>
    </w:p>
    <w:p>
      <w:r>
        <w:rPr>
          <w:b/>
        </w:rPr>
        <w:t xml:space="preserve">Como</w:t>
      </w:r>
      <w:r>
        <w:t xml:space="preserve"> empresa interesada en distribuir seguros de Solventa,</w:t>
      </w:r>
    </w:p>
    <w:p>
      <w:r>
        <w:rPr>
          <w:b/>
        </w:rPr>
        <w:t xml:space="preserve">quiero</w:t>
      </w:r>
      <w:r>
        <w:t xml:space="preserve"> registrarme como socio,</w:t>
      </w:r>
    </w:p>
    <w:p>
      <w:r>
        <w:rPr>
          <w:b/>
        </w:rPr>
        <w:t xml:space="preserve">para</w:t>
      </w:r>
      <w:r>
        <w:t xml:space="preserve"> empezar a integrar la oferta en mis propios canales.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registro captura razón social, identificación tributaria, contacto técnico y tipo de integración deseada.</w:t>
      </w:r>
    </w:p>
    <w:p>
      <w:pPr>
        <w:pStyle w:val="ListBullet"/>
        <w:numPr>
          <w:ilvl w:val="0"/>
          <w:numId w:val="1"/>
        </w:numPr>
      </w:pPr>
      <w:r>
        <w:t xml:space="preserve">La solicitud queda en estado pendiente hasta que Solventa la aprueba.</w:t>
      </w:r>
    </w:p>
    <w:p>
      <w:pPr>
        <w:pStyle w:val="ListBullet"/>
        <w:numPr>
          <w:ilvl w:val="0"/>
          <w:numId w:val="1"/>
        </w:numPr>
      </w:pPr>
      <w:r>
        <w:t xml:space="preserve">Al aprobarse, se notifica al socio y se habilita el acceso al portal.</w:t>
      </w:r>
    </w:p>
    <w:p>
      <w:pPr>
        <w:pStyle w:val="ListBullet"/>
        <w:numPr>
          <w:ilvl w:val="0"/>
          <w:numId w:val="1"/>
        </w:numPr>
      </w:pPr>
      <w:r>
        <w:t xml:space="preserve">Los datos del socio quedan asociados a un identificador único usado en toda la integración.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SOL-31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FE-09.2 — Generar y rotar las llaves de API</w:t>
      </w:r>
    </w:p>
    <w:p>
      <w:r>
        <w:rPr>
          <w:b/>
        </w:rPr>
        <w:t xml:space="preserve">Como</w:t>
      </w:r>
      <w:r>
        <w:t xml:space="preserve"> socio distribuidor aprobado,</w:t>
      </w:r>
    </w:p>
    <w:p>
      <w:r>
        <w:rPr>
          <w:b/>
        </w:rPr>
        <w:t xml:space="preserve">quiero</w:t>
      </w:r>
      <w:r>
        <w:t xml:space="preserve"> obtener y poder rotar mis llaves de acceso a la API,</w:t>
      </w:r>
    </w:p>
    <w:p>
      <w:r>
        <w:rPr>
          <w:b/>
        </w:rPr>
        <w:t xml:space="preserve">para</w:t>
      </w:r>
      <w:r>
        <w:t xml:space="preserve"> integrarme de forma segura y responder ante un incidente sin cortar el servicio.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Al aprobarse el socio, se generan automáticamente dos pares de llaves: uno de pruebas y uno de producción.</w:t>
      </w:r>
    </w:p>
    <w:p>
      <w:pPr>
        <w:pStyle w:val="ListBullet"/>
        <w:numPr>
          <w:ilvl w:val="0"/>
          <w:numId w:val="1"/>
        </w:numPr>
      </w:pPr>
      <w:r>
        <w:t xml:space="preserve">La llave se muestra completa una sola vez, al generarse; después solo se muestra parcialmente.</w:t>
      </w:r>
    </w:p>
    <w:p>
      <w:pPr>
        <w:pStyle w:val="ListBullet"/>
        <w:numPr>
          <w:ilvl w:val="0"/>
          <w:numId w:val="1"/>
        </w:numPr>
      </w:pPr>
      <w:r>
        <w:t xml:space="preserve">La rotación genera una llave nueva y mantiene la anterior válida durante un periodo de gracia configurable.</w:t>
      </w:r>
    </w:p>
    <w:p>
      <w:pPr>
        <w:pStyle w:val="ListBullet"/>
        <w:numPr>
          <w:ilvl w:val="0"/>
          <w:numId w:val="1"/>
        </w:numPr>
      </w:pPr>
      <w:r>
        <w:t xml:space="preserve">Cada llave tiene registro de fecha de creación, último uso y estado.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ASR-4.1 · </w:t>
      </w:r>
      <w:r>
        <w:rPr>
          <w:b/>
        </w:rPr>
        <w:t xml:space="preserve">Función padre:</w:t>
      </w:r>
      <w:r>
        <w:t xml:space="preserve"> SOL-31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FE-09.3 — Consultar el catálogo de ramos por API</w:t>
      </w:r>
    </w:p>
    <w:p>
      <w:r>
        <w:rPr>
          <w:b/>
        </w:rPr>
        <w:t xml:space="preserve">Como</w:t>
      </w:r>
      <w:r>
        <w:t xml:space="preserve"> sistema del socio distribuidor,</w:t>
      </w:r>
    </w:p>
    <w:p>
      <w:r>
        <w:rPr>
          <w:b/>
        </w:rPr>
        <w:t xml:space="preserve">quiero</w:t>
      </w:r>
      <w:r>
        <w:t xml:space="preserve"> consultar qué productos puedo ofrecer y con qué parámetros,</w:t>
      </w:r>
    </w:p>
    <w:p>
      <w:r>
        <w:rPr>
          <w:b/>
        </w:rPr>
        <w:t xml:space="preserve">para</w:t>
      </w:r>
      <w:r>
        <w:t xml:space="preserve"> presentarlos correctamente a mis usuarios.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API expone los ramos habilitados para ese socio con sus parámetros y coberturas.</w:t>
      </w:r>
    </w:p>
    <w:p>
      <w:pPr>
        <w:pStyle w:val="ListBullet"/>
        <w:numPr>
          <w:ilvl w:val="0"/>
          <w:numId w:val="1"/>
        </w:numPr>
      </w:pPr>
      <w:r>
        <w:t xml:space="preserve">El catálogo refleja automáticamente los ramos nuevos configurados, sin requerir cambios en la API.</w:t>
      </w:r>
    </w:p>
    <w:p>
      <w:pPr>
        <w:pStyle w:val="ListBullet"/>
        <w:numPr>
          <w:ilvl w:val="0"/>
          <w:numId w:val="1"/>
        </w:numPr>
      </w:pPr>
      <w:r>
        <w:t xml:space="preserve">La respuesta se entrega en el idioma y con la moneda del país del socio.</w:t>
      </w:r>
    </w:p>
    <w:p>
      <w:pPr>
        <w:pStyle w:val="ListBullet"/>
        <w:numPr>
          <w:ilvl w:val="0"/>
          <w:numId w:val="1"/>
        </w:numPr>
      </w:pPr>
      <w:r>
        <w:t xml:space="preserve">Las llamadas sin llave válida se rechazan sin revelar información del catálogo.</w:t>
      </w:r>
    </w:p>
    <w:p>
      <w:r>
        <w:rPr>
          <w:b/>
        </w:rPr>
        <w:t xml:space="preserve">SP:</w:t>
      </w:r>
      <w:r>
        <w:t xml:space="preserve"> 2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API · </w:t>
      </w:r>
      <w:r>
        <w:rPr>
          <w:b/>
        </w:rPr>
        <w:t xml:space="preserve">ASR:</w:t>
      </w:r>
      <w:r>
        <w:t xml:space="preserve"> ASR-2.2 · </w:t>
      </w:r>
      <w:r>
        <w:rPr>
          <w:b/>
        </w:rPr>
        <w:t xml:space="preserve">Función padre:</w:t>
      </w:r>
      <w:r>
        <w:t xml:space="preserve"> SOL-31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FE-09.4 — Monitorear el consumo y la cuota de API</w:t>
      </w:r>
    </w:p>
    <w:p>
      <w:r>
        <w:rPr>
          <w:b/>
        </w:rPr>
        <w:t xml:space="preserve">Como</w:t>
      </w:r>
      <w:r>
        <w:t xml:space="preserve"> socio distribuidor con una integración activa,</w:t>
      </w:r>
    </w:p>
    <w:p>
      <w:r>
        <w:rPr>
          <w:b/>
        </w:rPr>
        <w:t xml:space="preserve">quiero</w:t>
      </w:r>
      <w:r>
        <w:t xml:space="preserve"> ver cuántas llamadas he consumido y cuánta cuota me queda,</w:t>
      </w:r>
    </w:p>
    <w:p>
      <w:r>
        <w:rPr>
          <w:b/>
        </w:rPr>
        <w:t xml:space="preserve">para</w:t>
      </w:r>
      <w:r>
        <w:t xml:space="preserve"> planear mi operación y evitar quedarme sin servicio.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El portal muestra el consumo del periodo actual y el límite contratado.</w:t>
      </w:r>
    </w:p>
    <w:p>
      <w:pPr>
        <w:pStyle w:val="ListBullet"/>
        <w:numPr>
          <w:ilvl w:val="0"/>
          <w:numId w:val="1"/>
        </w:numPr>
      </w:pPr>
      <w:r>
        <w:t xml:space="preserve">Se notifica al socio al alcanzar umbrales de consumo definidos.</w:t>
      </w:r>
    </w:p>
    <w:p>
      <w:pPr>
        <w:pStyle w:val="ListBullet"/>
        <w:numPr>
          <w:ilvl w:val="0"/>
          <w:numId w:val="1"/>
        </w:numPr>
      </w:pPr>
      <w:r>
        <w:t xml:space="preserve">Al superar la cuota, las llamadas se rechazan con un código y mensaje que lo explican claramente.</w:t>
      </w:r>
    </w:p>
    <w:p>
      <w:pPr>
        <w:pStyle w:val="ListBullet"/>
        <w:numPr>
          <w:ilvl w:val="0"/>
          <w:numId w:val="1"/>
        </w:numPr>
      </w:pPr>
      <w:r>
        <w:t xml:space="preserve">El histórico de consumo está disponible por al menos los últimos doce meses.</w:t>
      </w:r>
    </w:p>
    <w:p>
      <w:r>
        <w:rPr>
          <w:b/>
        </w:rPr>
        <w:t xml:space="preserve">SP:</w:t>
      </w:r>
      <w:r>
        <w:t xml:space="preserve"> 3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Web · </w:t>
      </w:r>
      <w:r>
        <w:rPr>
          <w:b/>
        </w:rPr>
        <w:t xml:space="preserve">ASR:</w:t>
      </w:r>
      <w:r>
        <w:t xml:space="preserve"> — · </w:t>
      </w:r>
      <w:r>
        <w:rPr>
          <w:b/>
        </w:rPr>
        <w:t xml:space="preserve">Función padre:</w:t>
      </w:r>
      <w:r>
        <w:t xml:space="preserve"> SOL-31</w:t>
      </w:r>
    </w:p>
    <w:p>
      <w:pPr>
        <w:pBdr>
          <w:bottom w:val="single" w:sz="6" w:space="1" w:color="D0D0D0"/>
        </w:pBdr>
      </w:pPr>
    </w:p>
    <w:p>
      <w:pPr>
        <w:pStyle w:val="Heading4"/>
      </w:pPr>
      <w:r>
        <w:t xml:space="preserve">FE-09.5 — Cotizar y emitir de forma embebida por API</w:t>
      </w:r>
    </w:p>
    <w:p>
      <w:r>
        <w:rPr>
          <w:b/>
        </w:rPr>
        <w:t xml:space="preserve">Como</w:t>
      </w:r>
      <w:r>
        <w:t xml:space="preserve"> sistema del socio distribuidor,</w:t>
      </w:r>
    </w:p>
    <w:p>
      <w:r>
        <w:rPr>
          <w:b/>
        </w:rPr>
        <w:t xml:space="preserve">quiero</w:t>
      </w:r>
      <w:r>
        <w:t xml:space="preserve"> cotizar y emitir pólizas directamente por API,</w:t>
      </w:r>
    </w:p>
    <w:p>
      <w:r>
        <w:rPr>
          <w:b/>
        </w:rPr>
        <w:t xml:space="preserve">para</w:t>
      </w:r>
      <w:r>
        <w:t xml:space="preserve"> ofrecer el seguro dentro de mi propio flujo sin redirigir al usuario.</w:t>
      </w:r>
    </w:p>
    <w:p>
      <w:r>
        <w:rPr>
          <w:b/>
        </w:rPr>
        <w:t xml:space="preserve">Criterios de aceptación</w:t>
      </w:r>
    </w:p>
    <w:p>
      <w:pPr>
        <w:pStyle w:val="ListBullet"/>
        <w:numPr>
          <w:ilvl w:val="0"/>
          <w:numId w:val="1"/>
        </w:numPr>
      </w:pPr>
      <w:r>
        <w:t xml:space="preserve">La API permite cotizar enviando los datos del riesgo y devuelve prima y planes disponibles.</w:t>
      </w:r>
    </w:p>
    <w:p>
      <w:pPr>
        <w:pStyle w:val="ListBullet"/>
        <w:numPr>
          <w:ilvl w:val="0"/>
          <w:numId w:val="1"/>
        </w:numPr>
      </w:pPr>
      <w:r>
        <w:t xml:space="preserve">La API permite emitir a partir de una cotización vigente, confirmando el pago.</w:t>
      </w:r>
    </w:p>
    <w:p>
      <w:pPr>
        <w:pStyle w:val="ListBullet"/>
        <w:numPr>
          <w:ilvl w:val="0"/>
          <w:numId w:val="1"/>
        </w:numPr>
      </w:pPr>
      <w:r>
        <w:t xml:space="preserve">Cada operación queda trazada con el identificador del socio que la originó.</w:t>
      </w:r>
    </w:p>
    <w:p>
      <w:pPr>
        <w:pStyle w:val="ListBullet"/>
        <w:numPr>
          <w:ilvl w:val="0"/>
          <w:numId w:val="1"/>
        </w:numPr>
      </w:pPr>
      <w:r>
        <w:t xml:space="preserve">Los tiempos de respuesta de la API cumplen el mismo objetivo de latencia que el canal propio.</w:t>
      </w:r>
    </w:p>
    <w:p>
      <w:r>
        <w:rPr>
          <w:b/>
        </w:rPr>
        <w:t xml:space="preserve">SP:</w:t>
      </w:r>
      <w:r>
        <w:t xml:space="preserve"> 5 · </w:t>
      </w:r>
      <w:r>
        <w:rPr>
          <w:b/>
        </w:rPr>
        <w:t xml:space="preserve">Prioridad:</w:t>
      </w:r>
      <w:r>
        <w:t xml:space="preserve"> Baja · </w:t>
      </w:r>
      <w:r>
        <w:rPr>
          <w:b/>
        </w:rPr>
        <w:t xml:space="preserve">Canal:</w:t>
      </w:r>
      <w:r>
        <w:t xml:space="preserve"> API · </w:t>
      </w:r>
      <w:r>
        <w:rPr>
          <w:b/>
        </w:rPr>
        <w:t xml:space="preserve">ASR:</w:t>
      </w:r>
      <w:r>
        <w:t xml:space="preserve"> ASR-1.1 · </w:t>
      </w:r>
      <w:r>
        <w:rPr>
          <w:b/>
        </w:rPr>
        <w:t xml:space="preserve">Función padre:</w:t>
      </w:r>
      <w:r>
        <w:t xml:space="preserve"> SOL-31</w:t>
      </w:r>
    </w:p>
    <w:p>
      <w:pPr>
        <w:pBdr>
          <w:bottom w:val="single" w:sz="6" w:space="1" w:color="D0D0D0"/>
        </w:pBdr>
      </w:pPr>
    </w:p>
    <w:p>
      <w:pPr>
        <w:pStyle w:val="Heading3"/>
      </w:pPr>
      <w:r>
        <w:t xml:space="preserve">Historias de arquitectura · 11 historias · 92 SP</w:t>
      </w:r>
    </w:p>
    <w:p>
      <w:r>
        <w:t xml:space="preserve">Las historias de arquitectura se conservan sin descomponer. Cada una corresponde a un atributo de calidad transversal cuya validación es un experimento único: fragmentarlas produciría piezas no verificables de forma independiente contra su escenario de calidad. Su detalle completo, con la tabla SEI/Bass de seis campos y la frase narrativa del escenario, está en el documento de escenarios de calidad de la semana 3.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Jira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Épica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Prioridad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ASR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Parametrización multitenant y multirregión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Media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ASR-2.2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Abstracciones de pasarelas de pago (Adapter)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Media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ASR-2.1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Tokenización de PII y trazabilidad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Alta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ASR-4.1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Gestión de consentimientos Open Finance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Media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Persistencia PostgreSQL + Redis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Alta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Tolerancia a fallos y failover (Circuit Breaker)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Alta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ASR-3.1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Optimización de latencia del motor de scoring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SOL-28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Alta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ASR-1.1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Event Bus Kafka y degradación elegante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SOL-37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Alta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ASR-1.2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HU-ARQ-09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Autoescalado horizontal EKS y multi-AZ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SOL-43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Media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ASR-3.2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HU-ARQ-10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Sincronización offline del BFF móvil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SOL-44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Media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ASR-3.3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HU-ARQ-11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Integridad y auditoría de pólizas emitidas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SOL-45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EP-ARQ-02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Media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ASR-4.2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92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</w:tr>
    </w:tbl>
    <w:p>
      <w:r>
        <w:t/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5. Priorización y alcance</w:t>
      </w:r>
    </w:p>
    <w:p>
      <w:pPr>
        <w:pStyle w:val="Heading3"/>
      </w:pPr>
      <w:r>
        <w:t xml:space="preserve">5.1 Criterio de priorización</w:t>
      </w:r>
    </w:p>
    <w:p>
      <w:r>
        <w:t xml:space="preserve">La prioridad de cada historia se asignó combinando tres criterios, en este orden: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¿Valida un ASR que el proyecto debe demostrar?</w:t>
      </w:r>
      <w:r>
        <w:t xml:space="preserve"> Las historias de arquitectura ligadas a los escenarios de calidad que se experimentan en las semanas 5 y 6 tienen prioridad máxima: sin ellas no hay evidencia que presentar.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¿Pertenece al recorrido crítico mínimo?</w:t>
      </w:r>
      <w:r>
        <w:t xml:space="preserve"> El recorrido </w:t>
      </w:r>
      <w:r>
        <w:rPr>
          <w:i/>
        </w:rPr>
        <w:t xml:space="preserve">cotizar → emitir</w:t>
      </w:r>
      <w:r>
        <w:t xml:space="preserve"> en web y </w:t>
      </w:r>
      <w:r>
        <w:rPr>
          <w:i/>
        </w:rPr>
        <w:t xml:space="preserve">onboarding → consultar póliza</w:t>
      </w:r>
      <w:r>
        <w:t xml:space="preserve"> en móvil es el mínimo que hace demostrable el prototipo. Sin ese recorrido completo no hay producto que mostrar.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¿Es prerrequisito de algo de prioridad alta?</w:t>
      </w:r>
      <w:r>
        <w:t xml:space="preserve"> Una historia sin la cual otra de prioridad alta no puede completarse hereda su prioridad.</w:t>
      </w:r>
    </w:p>
    <w:p>
      <w:r>
        <w:t xml:space="preserve">Las historias que no cumplen ninguno de los tres criterios se difieren al Proyecto Final 2.</w:t>
      </w:r>
    </w:p>
    <w:p>
      <w:pPr>
        <w:pStyle w:val="Heading3"/>
      </w:pPr>
      <w:r>
        <w:t xml:space="preserve">5.2 Alcance del Proyecto Final 1 (76 SP)</w:t>
      </w:r>
    </w:p>
    <w:p>
      <w:r>
        <w:rPr>
          <w:b/>
        </w:rPr>
        <w:t xml:space="preserve">Historias de arquitectura — 42 SP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Orden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HU-ARQ-05 Persistencia PostgreSQL + Redis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Base sobre la que se montan los demás experimentos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HU-ARQ-07 Latencia del motor de scoring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Valida ASR-1.1 — experimento de la semana 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HU-ARQ-06 Tolerancia a fallos y failover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Valida ASR-3.1 — experimento de la semana 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HU-ARQ-03 Tokenización de PII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Valida ASR-4.1 — experimento de la semana 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HU-ARQ-08 Event Bus Kafka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Valida ASR-1.2 — degradación elegante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Subtotal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42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</w:tr>
    </w:tbl>
    <w:p>
      <w:r>
        <w:t/>
      </w:r>
    </w:p>
    <w:p>
      <w:r>
        <w:rPr>
          <w:b/>
        </w:rPr>
        <w:t xml:space="preserve">Historias funcionales — 34 SP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Orden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Canal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FE-10.2 Iniciar sesión con segundo factor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Puerta de entrada de todo el recorrido web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FE-01.1 Iniciar cotización seleccionando ramo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Inicio del recorrido crítico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FE-01.2 Autorizar consulta Open Finance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Diferenciador del producto; habilita ASR-4.1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FE-01.3 Ingresar datos del bien a asegurar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Prerrequisito del cálculo de prima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FE-01.4 Ver la prima calculada con desglose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Donde se observa ASR-1.1 y ASR-1.2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FE-02.1 Completar datos del tomador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Prerrequisito de la emisión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FE-02.4 Pagar la primera prima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Cierra el recorrido de venta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FE-02.5 Emitir la póliza y generar certificado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Resultado observable del recorrido web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FE-05.1 Capturar el documento de identidad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Móvil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Inicio del recorrido móvil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FE-05.2 Verificar identidad con prueba de vida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Móvil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Núcleo del onboarding móvil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FE-06.1 Ver pólizas activas en la billetera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Móvil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Resultado observable del recorrido móvil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FE-06.2 Consultar las pólizas sin conexión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Móvil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Donde se observa ASR-3.3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Subtotal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34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</w:tr>
    </w:tbl>
    <w:p>
      <w:r>
        <w:t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Historias de arquitectura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Historias funcionales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 alcance Proyecto Final 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76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Capacidad disponible (semanas 5–8)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76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Holgura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0</w:t>
            </w:r>
          </w:p>
        </w:tc>
      </w:tr>
    </w:tbl>
    <w:p>
      <w:r>
        <w:t/>
      </w:r>
    </w:p>
    <w:p>
      <w:pPr>
        <w:pStyle w:val="Quote"/>
      </w:pPr>
      <w:r>
        <w:t xml:space="preserve">El alcance se ajustó deliberadamente a la capacidad exacta. No hay holgura, lo que significa que </w:t>
      </w:r>
      <w:r>
        <w:rPr>
          <w:b/>
        </w:rPr>
        <w:t xml:space="preserve">cualquier historia adicional que entre desplaza a otra</w:t>
      </w:r>
      <w:r>
        <w:t xml:space="preserve">. El equipo asume este compromiso de forma explícita: la respuesta ante un imprevisto será sacar alcance, no extender horas.</w:t>
      </w:r>
    </w:p>
    <w:p>
      <w:pPr>
        <w:pStyle w:val="Heading3"/>
      </w:pPr>
      <w:r>
        <w:t xml:space="preserve">5.3 Diferido al Proyecto Final 2 (153 SP)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Bloque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Completar el recorrido de venta web (comparar planes, documentos, firma, entrega)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Administración de pólizas web (consulta, renovación, endosos, cancelación)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Gestión de siniestros web completa (aviso, soporte, peritaje, liquidación)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Autenticación web (registro, recuperación, gestión de sesiones)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Completar identidad móvil (listas restrictivas, consentimiento, biometría, reintentos)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Completar autogestión móvil (certificados, sincronización, siniestros, notificaciones)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Portal de socios distribuidores completo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Historias de arquitectura restantes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45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153</w:t>
            </w:r>
          </w:p>
        </w:tc>
      </w:tr>
    </w:tbl>
    <w:p>
      <w:r>
        <w:t/>
      </w:r>
    </w:p>
    <w:p>
      <w:pPr>
        <w:pStyle w:val="Heading3"/>
      </w:pPr>
      <w:r>
        <w:t xml:space="preserve">5.4 Distribución por sprint semanal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Semana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Historias comprometidas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Semana 5 (31 ago – 6 sep)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HU-ARQ-05, HU-ARQ-07, FE-10.2, FE-01.1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Semana 6 (7 – 13 sep)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HU-ARQ-06, FE-01.2, FE-01.3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Semana 7 (14 – 20 sep)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HU-ARQ-03, HU-ARQ-08, FE-01.4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Semana 8 (21 – 27 sep)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FE-02.1, FE-02.4, FE-02.5, FE-05.1, FE-05.2, FE-06.1, FE-06.2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21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17 historias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76</w:t>
            </w:r>
          </w:p>
        </w:tc>
      </w:tr>
    </w:tbl>
    <w:p>
      <w:r>
        <w:t/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6. Trazabilidad entre escenarios de calidad e historias</w:t>
      </w:r>
    </w:p>
    <w:p>
      <w:r>
        <w:t xml:space="preserve">Cada uno de los nueve escenarios de calidad definidos en la semana 3 se valida a través de al menos una historia de arquitectura y se observa en al menos una historia funcional.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ASR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Atributo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 de arquitectura que lo implementa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 funcional donde se observa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En Proyecto 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ASR-1.1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Latencia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HU-ARQ-07 (SOL-28)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FE-01.4 Ver prima calculada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Sí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ASR-1.2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Latencia bajo degradación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HU-ARQ-08 (SOL-37)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FE-01.4 Ver prima calculada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Sí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ASR-2.1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Modificabilidad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HU-ARQ-02 (SOL-20)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FE-02.4 Pagar la primera prima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ASR-2.2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Modificabilidad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HU-ARQ-01 (SOL-21)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FE-01.1 Iniciar cotización · FE-09.3 Catálogo API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ASR-3.1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Disponibilidad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HU-ARQ-06 (SOL-29)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FE-01.4 Ver prima calculada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Sí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ASR-3.2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Disponibilidad multi-AZ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HU-ARQ-09 (SOL-43)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Transversal a todo el sistema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ASR-3.3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Continuidad offline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HU-ARQ-10 (SOL-44)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FE-06.2 Consultar pólizas sin conexión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Parcial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ASR-4.1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Confidencialidad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HU-ARQ-03 (SOL-23)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FE-01.2 Autorizar Open Finance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Sí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ASR-4.2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Integridad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HU-ARQ-11 (SOL-45)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FE-02.5 Emitir póliza y certificado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</w:tbl>
    <w:p>
      <w:r>
        <w:t/>
      </w:r>
    </w:p>
    <w:p>
      <w:pPr>
        <w:pStyle w:val="Quote"/>
      </w:pPr>
      <w:r>
        <w:t xml:space="preserve">ASR-3.3 se marca como parcial: la historia funcional que lo evidencia (FE-06.2) entra en el Proyecto Final 1, pero la historia de arquitectura que lo implementa por completo (HU-ARQ-10) se difiere. En el Proyecto Final 1 se demuestra la consulta sin conexión; la sincronización bidireccional completa queda para el Proyecto Final 2.</w:t>
      </w:r>
    </w:p>
    <w:p>
      <w:pPr>
        <w:pBdr>
          <w:bottom w:val="single" w:sz="6" w:space="1" w:color="D0D0D0"/>
        </w:pBdr>
      </w:pPr>
    </w:p>
    <w:p>
      <w:pPr>
        <w:pStyle w:val="Heading2"/>
      </w:pPr>
      <w:r>
        <w:t xml:space="preserve">7. Anexo — Mapeo entre el backlog anterior y el actual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r>
        <w:trPr>
          <w:tblHeader/>
        </w:trPr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Función en Jira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Tipo en Jira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 v1.1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Se descompone en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Historias</w:t>
            </w:r>
          </w:p>
        </w:tc>
        <w:tc>
          <w:tcPr>
            <w:tcW w:w="0" w:type="auto"/>
            <w:shd w:val="clear" w:fill="EDF2F7"/>
          </w:tcPr>
          <w:p>
            <w:pPr>
              <w:spacing w:before="20" w:after="20"/>
            </w:pPr>
            <w:r>
              <w:rPr>
                <w:b/>
              </w:rPr>
              <w:t xml:space="preserve">SP v2.0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SOL-3 Cotización de seguros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FE-01.1 a FE-01.6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SOL-4 Suscripción y emisión de póliza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FE-02.1 a FE-02.6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SOL-5 Administración de pólizas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FE-03.1 a FE-03.5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SOL-6 Gestión y seguimiento de siniestros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FE-04.1 a FE-04.5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SOL-10 Autenticación biométrica y KYC/AML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FE-05.1 a FE-05.6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SOL-11 Billetera de pólizas móvil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FE-06.1 a FE-06.5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SOL-13 Notificaciones y asistencia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FE-07.1 a FE-07.4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SOL-12 Reporte de siniestros con evidencia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Función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FE-08.1 a FE-08.5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SOL-31 Portal de socios distribuidores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Historia ⚠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FE-09.1 a FE-09.5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(ausente en v1.1)</w:t>
            </w:r>
            <w:r>
              <w:t xml:space="preserve"> Autenticación web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FE-10.1 a FE-10.4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SOL-20 a SOL-45 · HU-ARQ-01 a HU-ARQ-11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Historia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92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i/>
              </w:rPr>
              <w:t xml:space="preserve">(sin descomponer)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92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152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/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62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229</w:t>
            </w:r>
          </w:p>
        </w:tc>
      </w:tr>
    </w:tbl>
    <w:p>
      <w:r>
        <w:t/>
      </w:r>
    </w:p>
    <w:p>
      <w:pPr>
        <w:pStyle w:val="Quote"/>
      </w:pPr>
      <w:r>
        <w:t xml:space="preserve">⚠ </w:t>
      </w:r>
      <w:r>
        <w:rPr>
          <w:b/>
        </w:rPr>
        <w:t xml:space="preserve">SOL-31 está tipada como Historia cuando debería ser Función</w:t>
      </w:r>
      <w:r>
        <w:t xml:space="preserve">, igual que sus ocho hermanas FE-01 a FE-08. Es la única funcionalidad de cara al usuario que cuelga directamente de su épica sin nivel de función intermedio. Se corrige junto con la carga de las historias nuevas.</w:t>
      </w:r>
    </w:p>
    <w:p>
      <w:r>
        <w:rPr>
          <w:b/>
        </w:rPr>
        <w:t xml:space="preserve">Tablero Jira del proyecto:</w:t>
      </w:r>
      <w:r>
        <w:t xml:space="preserve"> https://proyectointegradorgrupo2.atlassian.net/jira/software/projects/SOL/boards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80"/>
      </w:pPr>
    </w:lvl>
    <w:lvl w:ilvl="1">
      <w:start w:val="1"/>
      <w:numFmt w:val="bullet"/>
      <w:lvlText w:val="o"/>
      <w:lvlJc w:val="left"/>
      <w:pPr>
        <w:ind w:left="720" w:hanging="280"/>
      </w:pPr>
    </w:lvl>
    <w:lvl w:ilvl="2">
      <w:start w:val="1"/>
      <w:numFmt w:val="bullet"/>
      <w:lvlText w:val="▪"/>
      <w:lvlJc w:val="left"/>
      <w:pPr>
        <w:ind w:left="108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280"/>
      </w:pPr>
    </w:lvl>
    <w:lvl w:ilvl="1">
      <w:start w:val="1"/>
      <w:numFmt w:val="decimal"/>
      <w:lvlText w:val="%2."/>
      <w:lvlJc w:val="left"/>
      <w:pPr>
        <w:ind w:left="720" w:hanging="280"/>
      </w:pPr>
    </w:lvl>
    <w:lvl w:ilvl="2">
      <w:start w:val="1"/>
      <w:numFmt w:val="decimal"/>
      <w:lvlText w:val="%3."/>
      <w:lvlJc w:val="left"/>
      <w:pPr>
        <w:ind w:left="108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Heading1">
    <w:name w:val="heading 1"/>
    <w:basedOn w:val="Normal"/>
    <w:pPr>
      <w:keepNext/>
      <w:spacing w:before="240" w:after="120"/>
    </w:pPr>
    <w:rPr>
      <w:b/>
      <w:sz w:val="32"/>
      <w:color w:val="1A3A5C"/>
    </w:rPr>
  </w:style>
  <w:style w:type="paragraph" w:styleId="Heading2">
    <w:name w:val="heading 2"/>
    <w:basedOn w:val="Normal"/>
    <w:pPr>
      <w:keepNext/>
      <w:spacing w:before="240" w:after="100"/>
    </w:pPr>
    <w:rPr>
      <w:b/>
      <w:sz w:val="26"/>
      <w:color w:val="1F5F8B"/>
    </w:rPr>
  </w:style>
  <w:style w:type="paragraph" w:styleId="Heading3">
    <w:name w:val="heading 3"/>
    <w:basedOn w:val="Normal"/>
    <w:pPr>
      <w:keepNext/>
      <w:spacing w:before="200" w:after="80"/>
    </w:pPr>
    <w:rPr>
      <w:b/>
      <w:sz w:val="22"/>
      <w:color w:val="2E6DA4"/>
    </w:rPr>
  </w:style>
  <w:style w:type="paragraph" w:styleId="Heading4">
    <w:name w:val="heading 4"/>
    <w:basedOn w:val="Normal"/>
    <w:pPr>
      <w:keepNext/>
      <w:spacing w:before="160" w:after="60"/>
    </w:pPr>
    <w:rPr>
      <w:b/>
      <w:sz w:val="20"/>
      <w:color w:val="444444"/>
    </w:rPr>
  </w:style>
  <w:style w:type="paragraph" w:styleId="Heading5">
    <w:name w:val="heading 5"/>
    <w:basedOn w:val="Normal"/>
    <w:pPr>
      <w:keepNext/>
      <w:spacing w:before="140" w:after="60"/>
    </w:pPr>
    <w:rPr>
      <w:b/>
      <w:sz w:val="19"/>
      <w:color w:val="555555"/>
    </w:rPr>
  </w:style>
  <w:style w:type="paragraph" w:styleId="ListBullet">
    <w:name w:val="List Bullet"/>
    <w:basedOn w:val="Normal"/>
    <w:pPr>
      <w:spacing w:after="60"/>
      <w:ind w:left="360"/>
    </w:pPr>
  </w:style>
  <w:style w:type="paragraph" w:styleId="Quote">
    <w:name w:val="Quote"/>
    <w:basedOn w:val="Normal"/>
    <w:pPr>
      <w:ind w:left="360"/>
      <w:pBdr>
        <w:left w:val="single" w:sz="18" w:space="8" w:color="9CC3E5"/>
      </w:pBdr>
      <w:spacing w:before="80" w:after="80"/>
    </w:pPr>
    <w:rPr>
      <w:i/>
      <w:color w:val="3A3A3A"/>
    </w:rPr>
  </w:style>
  <w:style w:type="paragraph" w:styleId="Code">
    <w:name w:val="Code"/>
    <w:basedOn w:val="Normal"/>
    <w:pPr>
      <w:spacing w:after="0"/>
      <w:ind w:left="280"/>
      <w:shd w:val="clear" w:fill="F5F5F5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