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Avance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Avance de entrega  ·  el bloque de arquitectura y experimentos cierra en la semana 5</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p>
      <w:r>
        <w:rPr>
          <w:b/>
        </w:rPr>
        <w:t xml:space="preserve">Sobre el alcance de esta entrega.</w:t>
      </w:r>
      <w:r>
        <w:t xml:space="preserve"> Las semanas 4 y 5 forman un solo bloque de trabajo cuyo entregable final es la semana 5. Este documento es el </w:t>
      </w:r>
      <w:r>
        <w:rPr>
          <w:b/>
        </w:rPr>
        <w:t xml:space="preserve">avance de la semana 4</w:t>
      </w:r>
      <w:r>
        <w:t xml:space="preserve">, y su foco está donde el curso indica que debe estar esta semana: la arquitectura. El diseño de los experimentos se presenta ya completo en su estructura, y la semana 5 se reserva para ajustar la arquitectura si el diseño detallado revela una carencia, cerrar la versión final de las fichas de experimento e incorporar los wireframes. Lo que se detalla en §7.8.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§2.1 declara el estilo de arquitectura y lo justifica; §2.2 a §2.5 desarrollan cinco modelos: contexto, funcional, despliegue, información y dominio</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vista de asignación de patrones, matriz de trazabilidad patrón→táctica→componente→ASR, estructura de los patrones críticos y los doce patrones en detalle.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criterio para decidir cuántos experimentos, tres fichas completas y las cinco alternativas evaluadas y descartadas con su razón</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qué es un punto de historia, cálculo de la capacidad del equipo, dónde se gasta en el Proyecto Final 1, compromiso del backlog contra los tres sprints del Proyecto Final 2, viabilidad de construcción y estado del tablero</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Estilo de arquitectura</w:t>
      </w:r>
    </w:p>
    <w:p>
      <w:r>
        <w:t xml:space="preserve">Antes de presentar las vistas conviene declarar el </w:t>
      </w:r>
      <w:r>
        <w:rPr>
          <w:b/>
        </w:rPr>
        <w:t xml:space="preserve">estilo</w:t>
      </w:r>
      <w:r>
        <w:t xml:space="preserve"> que gobierna la solución, porque es la decisión de la que dependen todas las demás. Solventa no adopta un estilo puro sino una </w:t>
      </w:r>
      <w:r>
        <w:rPr>
          <w:b/>
        </w:rPr>
        <w:t xml:space="preserve">combinación deliberada de tres</w:t>
      </w:r>
      <w:r>
        <w:t xml:space="preserve">, cada uno resolviendo un problema que los otros no resuelven bien.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Estilo</w:t>
            </w:r>
          </w:p>
        </w:tc>
        <w:tc>
          <w:tcPr>
            <w:tcW w:w="0" w:type="auto"/>
            <w:shd w:val="clear" w:fill="EDF2F7"/>
          </w:tcPr>
          <w:p>
            <w:pPr>
              <w:spacing w:before="20" w:after="20"/>
            </w:pPr>
            <w:r>
              <w:rPr>
                <w:b/>
              </w:rPr>
              <w:t xml:space="preserve">Dónde se aplica</w:t>
            </w:r>
          </w:p>
        </w:tc>
        <w:tc>
          <w:tcPr>
            <w:tcW w:w="0" w:type="auto"/>
            <w:shd w:val="clear" w:fill="EDF2F7"/>
          </w:tcPr>
          <w:p>
            <w:pPr>
              <w:spacing w:before="20" w:after="20"/>
            </w:pPr>
            <w:r>
              <w:rPr>
                <w:b/>
              </w:rPr>
              <w:t xml:space="preserve">Qué problema resuelve</w:t>
            </w:r>
          </w:p>
        </w:tc>
        <w:tc>
          <w:tcPr>
            <w:tcW w:w="0" w:type="auto"/>
            <w:shd w:val="clear" w:fill="EDF2F7"/>
          </w:tcPr>
          <w:p>
            <w:pPr>
              <w:spacing w:before="20" w:after="20"/>
            </w:pPr>
            <w:r>
              <w:rPr>
                <w:b/>
              </w:rPr>
              <w:t xml:space="preserve">ASR que lo exige</w:t>
            </w:r>
          </w:p>
        </w:tc>
      </w:tr>
      <w:tr>
        <w:tc>
          <w:tcPr>
            <w:tcW w:w="0" w:type="auto"/>
          </w:tcPr>
          <w:p>
            <w:pPr>
              <w:spacing w:before="20" w:after="20"/>
            </w:pPr>
            <w:r>
              <w:rPr>
                <w:b/>
              </w:rPr>
              <w:t xml:space="preserve">Microservicios</w:t>
            </w:r>
          </w:p>
        </w:tc>
        <w:tc>
          <w:tcPr>
            <w:tcW w:w="0" w:type="auto"/>
          </w:tcPr>
          <w:p>
            <w:pPr>
              <w:spacing w:before="20" w:after="20"/>
            </w:pPr>
            <w:r>
              <w:t xml:space="preserve">Núcleo de negocio: siete servicios delimitados por contexto de dominio</w:t>
            </w:r>
          </w:p>
        </w:tc>
        <w:tc>
          <w:tcPr>
            <w:tcW w:w="0" w:type="auto"/>
          </w:tcPr>
          <w:p>
            <w:pPr>
              <w:spacing w:before="20" w:after="20"/>
            </w:pPr>
            <w:r>
              <w:t xml:space="preserve">Permite escalar y desplegar de forma independiente el servicio con exigencia de latencia, sin arrastrar a los demás</w:t>
            </w:r>
          </w:p>
        </w:tc>
        <w:tc>
          <w:tcPr>
            <w:tcW w:w="0" w:type="auto"/>
          </w:tcPr>
          <w:p>
            <w:pPr>
              <w:spacing w:before="20" w:after="20"/>
            </w:pPr>
            <w:r>
              <w:t xml:space="preserve">ASR-1.1 · ASR-3.2</w:t>
            </w:r>
          </w:p>
        </w:tc>
      </w:tr>
      <w:tr>
        <w:tc>
          <w:tcPr>
            <w:tcW w:w="0" w:type="auto"/>
          </w:tcPr>
          <w:p>
            <w:pPr>
              <w:spacing w:before="20" w:after="20"/>
            </w:pPr>
            <w:r>
              <w:rPr>
                <w:b/>
              </w:rPr>
              <w:t xml:space="preserve">Por capas</w:t>
            </w:r>
          </w:p>
        </w:tc>
        <w:tc>
          <w:tcPr>
            <w:tcW w:w="0" w:type="auto"/>
          </w:tcPr>
          <w:p>
            <w:pPr>
              <w:spacing w:before="20" w:after="20"/>
            </w:pPr>
            <w:r>
              <w:t xml:space="preserve">Edge → BFF → Núcleo → Adaptadores</w:t>
            </w:r>
          </w:p>
        </w:tc>
        <w:tc>
          <w:tcPr>
            <w:tcW w:w="0" w:type="auto"/>
          </w:tcPr>
          <w:p>
            <w:pPr>
              <w:spacing w:before="20" w:after="20"/>
            </w:pPr>
            <w:r>
              <w:t xml:space="preserve">Confina las responsabilidades transversales —seguridad en el borde, formato por canal en el BFF, integración externa en los adaptadores— para que no se repitan en cada servicio</w:t>
            </w:r>
          </w:p>
        </w:tc>
        <w:tc>
          <w:tcPr>
            <w:tcW w:w="0" w:type="auto"/>
          </w:tcPr>
          <w:p>
            <w:pPr>
              <w:spacing w:before="20" w:after="20"/>
            </w:pPr>
            <w:r>
              <w:t xml:space="preserve">ASR-2.1 · ASR-4.1</w:t>
            </w:r>
          </w:p>
        </w:tc>
      </w:tr>
      <w:tr>
        <w:tc>
          <w:tcPr>
            <w:tcW w:w="0" w:type="auto"/>
          </w:tcPr>
          <w:p>
            <w:pPr>
              <w:spacing w:before="20" w:after="20"/>
            </w:pPr>
            <w:r>
              <w:rPr>
                <w:b/>
              </w:rPr>
              <w:t xml:space="preserve">Orientado a eventos</w:t>
            </w:r>
          </w:p>
        </w:tc>
        <w:tc>
          <w:tcPr>
            <w:tcW w:w="0" w:type="auto"/>
          </w:tcPr>
          <w:p>
            <w:pPr>
              <w:spacing w:before="20" w:after="20"/>
            </w:pPr>
            <w:r>
              <w:t xml:space="preserve">Comunicación asíncrona entre servicios del núcleo vía Event Bus</w:t>
            </w:r>
          </w:p>
        </w:tc>
        <w:tc>
          <w:tcPr>
            <w:tcW w:w="0" w:type="auto"/>
          </w:tcPr>
          <w:p>
            <w:pPr>
              <w:spacing w:before="20" w:after="20"/>
            </w:pPr>
            <w:r>
              <w:t xml:space="preserve">Saca del camino crítico todo lo que no es necesario para responder al usuario y desacopla productores de consumidores</w:t>
            </w:r>
          </w:p>
        </w:tc>
        <w:tc>
          <w:tcPr>
            <w:tcW w:w="0" w:type="auto"/>
          </w:tcPr>
          <w:p>
            <w:pPr>
              <w:spacing w:before="20" w:after="20"/>
            </w:pPr>
            <w:r>
              <w:t xml:space="preserve">ASR-1.2 · ASR-2.1</w:t>
            </w:r>
          </w:p>
        </w:tc>
      </w:tr>
    </w:tbl>
    <w:p>
      <w:r>
        <w:t/>
      </w:r>
    </w:p>
    <w:p>
      <w:r>
        <w:rPr>
          <w:b/>
        </w:rPr>
        <w:t xml:space="preserve">Por qué microservicios y no un monolito modular.</w:t>
      </w:r>
      <w:r>
        <w:t xml:space="preserve"> Un monolito habría simplificado el desarrollo en el plazo disponible, y esa era una alternativa seria. Se descartó por una razón concreta y no por moda: el servicio de Perfilamiento y Scoring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r>
        <w:rPr>
          <w:b/>
        </w:rPr>
        <w:t xml:space="preserve">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r>
        <w:rPr>
          <w:b/>
        </w:rPr>
        <w:t xml:space="preserve">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 xml:space="preserve">no</w:t>
      </w:r>
      <w:r>
        <w:t xml:space="preserve"> para el cobro de la prima, que permanece sincrónico dentro de la transacción de emisión.</w:t>
      </w:r>
    </w:p>
    <w:p>
      <w:r>
        <w:rPr>
          <w:b/>
        </w:rPr>
        <w:t xml:space="preserve">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observabilidad y control de tráfico, pero su costo de operación no se justifica con siete servicios y un equipo de cuatro personas.</w:t>
      </w:r>
    </w:p>
    <w:p>
      <w:pPr>
        <w:pStyle w:val="Heading3"/>
      </w:pPr>
      <w:r>
        <w:t xml:space="preserve">2.2 Vista de contexto</w:t>
      </w:r>
    </w:p>
    <w:p>
      <w:r>
        <w:t xml:space="preserve">Antes de descomponer el sistema conviene fijar su frontera: quién lo usa, de qué terceros depende y qué intercambia con cada uno.</w:t>
      </w:r>
    </w:p>
    <w:p>
      <w:pPr>
        <w:jc w:val="center"/>
        <w:spacing w:before="160" w:after="60"/>
      </w:pPr>
      <w:r>
        <w:drawing>
          <wp:inline xmlns:wp="http://schemas.openxmlformats.org/drawingml/2006/wordprocessingDrawing" distT="0" distB="0" distL="0" distR="0">
            <wp:extent cx="6126480" cy="3310638"/>
            <wp:docPr id="100" name="Imagen 100"/>
            <a:graphic xmlns:a="http://schemas.openxmlformats.org/drawingml/2006/main">
              <a:graphicData uri="http://schemas.openxmlformats.org/drawingml/2006/picture">
                <pic:pic xmlns:pic="http://schemas.openxmlformats.org/drawingml/2006/picture">
                  <pic:nvPicPr>
                    <pic:cNvPr id="100" name="diagrama_contexto.png"/>
                    <pic:cNvPicPr/>
                  </pic:nvPicPr>
                  <pic:blipFill>
                    <a:blip xmlns:r="http://schemas.openxmlformats.org/officeDocument/2006/relationships" r:embed="rIdImg0"/>
                    <a:stretch>
                      <a:fillRect/>
                    </a:stretch>
                  </pic:blipFill>
                  <pic:spPr>
                    <a:xfrm>
                      <a:off x="0" y="0"/>
                      <a:ext cx="6126480" cy="3310638"/>
                    </a:xfrm>
                    <a:prstGeom prst="rect">
                      <a:avLst/>
                    </a:prstGeom>
                  </pic:spPr>
                </pic:pic>
              </a:graphicData>
            </a:graphic>
          </wp:inline>
        </w:drawing>
      </w:r>
    </w:p>
    <w:p>
      <w:pPr>
        <w:jc w:val="center"/>
        <w:spacing w:after="200"/>
      </w:pPr>
      <w:r>
        <w:rPr>
          <w:i/>
          <w:sz w:val="18"/>
          <w:color w:val="666666"/>
        </w:rPr>
        <w:t xml:space="preserve">Figura 1. Diagrama de contexto: actores, sistemas externos y qué intercambia Solventa con cada uno</w:t>
      </w:r>
    </w:p>
    <w:p>
      <w:r>
        <w:rPr>
          <w:b/>
        </w:rPr>
        <w:t xml:space="preserve">Seis actores.</w:t>
      </w:r>
      <w:r>
        <w:t xml:space="preserve"> El cliente asegurado es el usuario principal, pero no el único que impone requisitos: el regulador exige reportes trazables, el perito necesita acceso acotado a la evidencia de un siniestro, y el socio de distribución consume la plataforma por API sin pasar nunca por la interfaz. Ese último es el que obliga a que la API B2B sea un canal de primera clase y no un añadido.</w:t>
      </w:r>
    </w:p>
    <w:p>
      <w:r>
        <w:rPr>
          <w:b/>
        </w:rPr>
        <w:t xml:space="preserve">Cinco sistemas externos, con distinto grado de compromiso.</w:t>
      </w:r>
      <w:r>
        <w:t xml:space="preserve"> La distinción importa para el alcance: en el Proyecto Final 2 se integran realmente Open Finance, las pasarelas de pago y KYC/AML, porque son los que introducen incertidumbre arquitectural. Open Data y firma electrónica se simulan: su integración real no aporta información de diseño nueva y su costo compite con el recorrido crítico.</w:t>
      </w:r>
    </w:p>
    <w:p>
      <w:r>
        <w:rPr>
          <w:b/>
        </w:rPr>
        <w:t xml:space="preserve">Lo que salió del contexto.</w:t>
      </w:r>
      <w:r>
        <w:t xml:space="preserve"> Las versiones anteriores incluían reaseguradoras e IoT/telemetría como sistemas externos. Se retiran porque no aparecen en ninguna historia del backlog comprometido, y un contexto que muestra integraciones que nadie va a construir describe un sistema que no existe.</w:t>
      </w:r>
    </w:p>
    <w:p>
      <w:pPr>
        <w:pStyle w:val="Heading3"/>
      </w:pPr>
      <w:r>
        <w:t xml:space="preserve">2.3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299431"/>
            <wp:docPr id="101" name="Imagen 101"/>
            <a:graphic xmlns:a="http://schemas.openxmlformats.org/drawingml/2006/main">
              <a:graphicData uri="http://schemas.openxmlformats.org/drawingml/2006/picture">
                <pic:pic xmlns:pic="http://schemas.openxmlformats.org/drawingml/2006/picture">
                  <pic:nvPicPr>
                    <pic:cNvPr id="101" name="vista_funcional.png"/>
                    <pic:cNvPicPr/>
                  </pic:nvPicPr>
                  <pic:blipFill>
                    <a:blip xmlns:r="http://schemas.openxmlformats.org/officeDocument/2006/relationships" r:embed="rIdImg1"/>
                    <a:stretch>
                      <a:fillRect/>
                    </a:stretch>
                  </pic:blipFill>
                  <pic:spPr>
                    <a:xfrm>
                      <a:off x="0" y="0"/>
                      <a:ext cx="6126480" cy="4299431"/>
                    </a:xfrm>
                    <a:prstGeom prst="rect">
                      <a:avLst/>
                    </a:prstGeom>
                  </pic:spPr>
                </pic:pic>
              </a:graphicData>
            </a:graphic>
          </wp:inline>
        </w:drawing>
      </w:r>
    </w:p>
    <w:p>
      <w:pPr>
        <w:jc w:val="center"/>
        <w:spacing w:after="200"/>
      </w:pPr>
      <w:r>
        <w:rPr>
          <w:i/>
          <w:sz w:val="18"/>
          <w:color w:val="666666"/>
        </w:rPr>
        <w:t xml:space="preserve">Figura 2. Vista funcional: capas Edge, BFF, núcleo de negocio y adaptadores externos</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2.4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4015437"/>
            <wp:docPr id="102" name="Imagen 102"/>
            <a:graphic xmlns:a="http://schemas.openxmlformats.org/drawingml/2006/main">
              <a:graphicData uri="http://schemas.openxmlformats.org/drawingml/2006/picture">
                <pic:pic xmlns:pic="http://schemas.openxmlformats.org/drawingml/2006/picture">
                  <pic:nvPicPr>
                    <pic:cNvPr id="102" name="vista_despliegue.png"/>
                    <pic:cNvPicPr/>
                  </pic:nvPicPr>
                  <pic:blipFill>
                    <a:blip xmlns:r="http://schemas.openxmlformats.org/officeDocument/2006/relationships" r:embed="rIdImg2"/>
                    <a:stretch>
                      <a:fillRect/>
                    </a:stretch>
                  </pic:blipFill>
                  <pic:spPr>
                    <a:xfrm>
                      <a:off x="0" y="0"/>
                      <a:ext cx="6126480" cy="4015437"/>
                    </a:xfrm>
                    <a:prstGeom prst="rect">
                      <a:avLst/>
                    </a:prstGeom>
                  </pic:spPr>
                </pic:pic>
              </a:graphicData>
            </a:graphic>
          </wp:inline>
        </w:drawing>
      </w:r>
    </w:p>
    <w:p>
      <w:pPr>
        <w:jc w:val="center"/>
        <w:spacing w:after="200"/>
      </w:pPr>
      <w:r>
        <w:rPr>
          <w:i/>
          <w:sz w:val="18"/>
          <w:color w:val="666666"/>
        </w:rPr>
        <w:t xml:space="preserve">Figura 3.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2.5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2872041"/>
            <wp:docPr id="103" name="Imagen 103"/>
            <a:graphic xmlns:a="http://schemas.openxmlformats.org/drawingml/2006/main">
              <a:graphicData uri="http://schemas.openxmlformats.org/drawingml/2006/picture">
                <pic:pic xmlns:pic="http://schemas.openxmlformats.org/drawingml/2006/picture">
                  <pic:nvPicPr>
                    <pic:cNvPr id="103" name="vista_informacion.png"/>
                    <pic:cNvPicPr/>
                  </pic:nvPicPr>
                  <pic:blipFill>
                    <a:blip xmlns:r="http://schemas.openxmlformats.org/officeDocument/2006/relationships" r:embed="rIdImg3"/>
                    <a:stretch>
                      <a:fillRect/>
                    </a:stretch>
                  </pic:blipFill>
                  <pic:spPr>
                    <a:xfrm>
                      <a:off x="0" y="0"/>
                      <a:ext cx="6126480" cy="2872041"/>
                    </a:xfrm>
                    <a:prstGeom prst="rect">
                      <a:avLst/>
                    </a:prstGeom>
                  </pic:spPr>
                </pic:pic>
              </a:graphicData>
            </a:graphic>
          </wp:inline>
        </w:drawing>
      </w:r>
    </w:p>
    <w:p>
      <w:pPr>
        <w:jc w:val="center"/>
        <w:spacing w:after="200"/>
      </w:pPr>
      <w:r>
        <w:rPr>
          <w:i/>
          <w:sz w:val="18"/>
          <w:color w:val="666666"/>
        </w:rPr>
        <w:t xml:space="preserve">Figura 4.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pPr>
        <w:pStyle w:val="Heading4"/>
      </w:pPr>
      <w:r>
        <w:t xml:space="preserve">Modelo de dominio detallado</w:t>
      </w:r>
    </w:p>
    <w:p>
      <w:r>
        <w:t xml:space="preserve">La vista anterior resume las entidades para poder relacionarlas con su clasificación. El modelo siguiente las desarrolla con sus atributos y cardinalidades, que es lo que se traduce en esquema de base de datos.</w:t>
      </w:r>
    </w:p>
    <w:p>
      <w:pPr>
        <w:jc w:val="center"/>
        <w:spacing w:before="160" w:after="60"/>
      </w:pPr>
      <w:r>
        <w:drawing>
          <wp:inline xmlns:wp="http://schemas.openxmlformats.org/drawingml/2006/wordprocessingDrawing" distT="0" distB="0" distL="0" distR="0">
            <wp:extent cx="6126480" cy="3963646"/>
            <wp:docPr id="104" name="Imagen 104"/>
            <a:graphic xmlns:a="http://schemas.openxmlformats.org/drawingml/2006/main">
              <a:graphicData uri="http://schemas.openxmlformats.org/drawingml/2006/picture">
                <pic:pic xmlns:pic="http://schemas.openxmlformats.org/drawingml/2006/picture">
                  <pic:nvPicPr>
                    <pic:cNvPr id="104" name="modelo_dominio.png"/>
                    <pic:cNvPicPr/>
                  </pic:nvPicPr>
                  <pic:blipFill>
                    <a:blip xmlns:r="http://schemas.openxmlformats.org/officeDocument/2006/relationships" r:embed="rIdImg4"/>
                    <a:stretch>
                      <a:fillRect/>
                    </a:stretch>
                  </pic:blipFill>
                  <pic:spPr>
                    <a:xfrm>
                      <a:off x="0" y="0"/>
                      <a:ext cx="6126480" cy="3963646"/>
                    </a:xfrm>
                    <a:prstGeom prst="rect">
                      <a:avLst/>
                    </a:prstGeom>
                  </pic:spPr>
                </pic:pic>
              </a:graphicData>
            </a:graphic>
          </wp:inline>
        </w:drawing>
      </w:r>
    </w:p>
    <w:p>
      <w:pPr>
        <w:jc w:val="center"/>
        <w:spacing w:after="200"/>
      </w:pPr>
      <w:r>
        <w:rPr>
          <w:i/>
          <w:sz w:val="18"/>
          <w:color w:val="666666"/>
        </w:rPr>
        <w:t xml:space="preserve">Figura 5. Modelo de dominio: entidades, atributos y cardinalidades</w:t>
      </w:r>
    </w:p>
    <w:p>
      <w:r>
        <w:t xml:space="preserve">Tres decisiones del modelo merecen explicación:</w:t>
      </w:r>
    </w:p>
    <w:p>
      <w:r>
        <w:rPr>
          <w:b/>
        </w:rPr>
        <w:t xml:space="preserve">Los campos marcados como tokenizados no se almacenan en claro en ninguna tabla.</w:t>
      </w:r>
      <w:r>
        <w:t xml:space="preserve"> La entidad guarda un token y el valor original vive únicamente en el servicio de Tokenización. Por eso </w:t>
      </w:r>
      <w:r>
        <w:rPr>
          <w:rFonts w:ascii="Consolas" w:hAnsi="Consolas"/>
          <w:sz w:val="18"/>
          <w:color w:val="B03A2E"/>
        </w:rPr>
        <w:t xml:space="preserve">Cliente.documento</w:t>
      </w:r>
      <w:r>
        <w:t xml:space="preserve"> y </w:t>
      </w:r>
      <w:r>
        <w:rPr>
          <w:rFonts w:ascii="Consolas" w:hAnsi="Consolas"/>
          <w:sz w:val="18"/>
          <w:color w:val="B03A2E"/>
        </w:rPr>
        <w:t xml:space="preserve">Pago.medio</w:t>
      </w:r>
      <w:r>
        <w:t xml:space="preserve"> aparecen anotados: son los dos puntos por donde entra información personal al modelo.</w:t>
      </w:r>
    </w:p>
    <w:p>
      <w:r>
        <w:rPr>
          <w:b/>
        </w:rPr>
        <w:t xml:space="preserve">El registro de auditoría es una entidad de primera clase, no un efecto secundario.</w:t>
      </w:r>
      <w:r>
        <w:t xml:space="preserve"> Aparece con sus atributos y su relación con Póliza porque el ASR-4.2 exige que sea inmutable y retenido cinco años; tratarlo como una tabla de log accesoria llevaría a diseñarlo sin esa garantía.</w:t>
      </w:r>
    </w:p>
    <w:p>
      <w:r>
        <w:rPr>
          <w:b/>
        </w:rPr>
        <w:t xml:space="preserve">Ramo es una entidad de configuración, no de código.</w:t>
      </w:r>
      <w:r>
        <w:t xml:space="preserve"> Sus factores y coberturas se cargan desde configuración versionada, que es lo que sostiene el ASR-2.2: agregar un ramo nuevo es cargar una definición, no modificar el motor de rating.</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Marco: patrón, táctica y su relación con el ASR</w:t>
      </w:r>
    </w:p>
    <w:p>
      <w:r>
        <w:t xml:space="preserve">Los tres conceptos operan en niveles distintos y conviene no confundirlos, porque el profesor evalúa la relación entre ellos: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Ejemplo en Solventa</w:t>
            </w:r>
          </w:p>
        </w:tc>
      </w:tr>
      <w:tr>
        <w:tc>
          <w:tcPr>
            <w:tcW w:w="0" w:type="auto"/>
          </w:tcPr>
          <w:p>
            <w:pPr>
              <w:spacing w:before="20" w:after="20"/>
            </w:pPr>
            <w:r>
              <w:rPr>
                <w:b/>
              </w:rPr>
              <w:t xml:space="preserve">Atributo de calidad (ASR)</w:t>
            </w:r>
          </w:p>
        </w:tc>
        <w:tc>
          <w:tcPr>
            <w:tcW w:w="0" w:type="auto"/>
          </w:tcPr>
          <w:p>
            <w:pPr>
              <w:spacing w:before="20" w:after="20"/>
            </w:pPr>
            <w:r>
              <w:t xml:space="preserve">La propiedad que el sistema debe exhibir, expresada como escenario medible</w:t>
            </w:r>
          </w:p>
        </w:tc>
        <w:tc>
          <w:tcPr>
            <w:tcW w:w="0" w:type="auto"/>
          </w:tcPr>
          <w:p>
            <w:pPr>
              <w:spacing w:before="20" w:after="20"/>
            </w:pPr>
            <w:r>
              <w:t xml:space="preserve">ASR-1.1: p95 &lt; 200 ms con 500 req/min</w:t>
            </w:r>
          </w:p>
        </w:tc>
      </w:tr>
      <w:tr>
        <w:tc>
          <w:tcPr>
            <w:tcW w:w="0" w:type="auto"/>
          </w:tcPr>
          <w:p>
            <w:pPr>
              <w:spacing w:before="20" w:after="20"/>
            </w:pPr>
            <w:r>
              <w:rPr>
                <w:b/>
              </w:rPr>
              <w:t xml:space="preserve">Táctica</w:t>
            </w:r>
          </w:p>
        </w:tc>
        <w:tc>
          <w:tcPr>
            <w:tcW w:w="0" w:type="auto"/>
          </w:tcPr>
          <w:p>
            <w:pPr>
              <w:spacing w:before="20" w:after="20"/>
            </w:pPr>
            <w:r>
              <w:t xml:space="preserve">Una decisión de diseño elemental que influye sobre un atributo de calidad. Es el «qué se hace»</w:t>
            </w:r>
          </w:p>
        </w:tc>
        <w:tc>
          <w:tcPr>
            <w:tcW w:w="0" w:type="auto"/>
          </w:tcPr>
          <w:p>
            <w:pPr>
              <w:spacing w:before="20" w:after="20"/>
            </w:pPr>
            <w:r>
              <w:t xml:space="preserve">Mantener múltiples copias de datos computados</w:t>
            </w:r>
          </w:p>
        </w:tc>
      </w:tr>
      <w:tr>
        <w:tc>
          <w:tcPr>
            <w:tcW w:w="0" w:type="auto"/>
          </w:tcPr>
          <w:p>
            <w:pPr>
              <w:spacing w:before="20" w:after="20"/>
            </w:pPr>
            <w:r>
              <w:rPr>
                <w:b/>
              </w:rPr>
              <w:t xml:space="preserve">Patrón</w:t>
            </w:r>
          </w:p>
        </w:tc>
        <w:tc>
          <w:tcPr>
            <w:tcW w:w="0" w:type="auto"/>
          </w:tcPr>
          <w:p>
            <w:pPr>
              <w:spacing w:before="20" w:after="20"/>
            </w:pPr>
            <w:r>
              <w:t xml:space="preserve">Una composición de tácticas con una estructura conocida y contrapartidas documentadas. Es el «cómo se materializa»</w:t>
            </w:r>
          </w:p>
        </w:tc>
        <w:tc>
          <w:tcPr>
            <w:tcW w:w="0" w:type="auto"/>
          </w:tcPr>
          <w:p>
            <w:pPr>
              <w:spacing w:before="20" w:after="20"/>
            </w:pPr>
            <w:r>
              <w:t xml:space="preserve">Cache-Aside, que compone esa táctica con una política de vencimiento y una de escritura</w:t>
            </w:r>
          </w:p>
        </w:tc>
      </w:tr>
    </w:tbl>
    <w:p>
      <w:r>
        <w:t/>
      </w:r>
    </w:p>
    <w:p>
      <w:r>
        <w:t xml:space="preserve">La cadena de razonamiento que sigue este documento es siempre la misma: </w:t>
      </w:r>
      <w:r>
        <w:rPr>
          <w:b/>
        </w:rPr>
        <w:t xml:space="preserve">un ASR exige una propiedad → esa propiedad se consigue con una o varias tácticas → esas tácticas se materializan en un patrón → ese patrón se asigna a componentes concretos → un experimento mide si funcionó.</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4508955"/>
            <wp:docPr id="105" name="Imagen 105"/>
            <a:graphic xmlns:a="http://schemas.openxmlformats.org/drawingml/2006/main">
              <a:graphicData uri="http://schemas.openxmlformats.org/drawingml/2006/picture">
                <pic:pic xmlns:pic="http://schemas.openxmlformats.org/drawingml/2006/picture">
                  <pic:nvPicPr>
                    <pic:cNvPr id="105" name="vista_patrones.png"/>
                    <pic:cNvPicPr/>
                  </pic:nvPicPr>
                  <pic:blipFill>
                    <a:blip xmlns:r="http://schemas.openxmlformats.org/officeDocument/2006/relationships" r:embed="rIdImg5"/>
                    <a:stretch>
                      <a:fillRect/>
                    </a:stretch>
                  </pic:blipFill>
                  <pic:spPr>
                    <a:xfrm>
                      <a:off x="0" y="0"/>
                      <a:ext cx="6126480" cy="4508955"/>
                    </a:xfrm>
                    <a:prstGeom prst="rect">
                      <a:avLst/>
                    </a:prstGeom>
                  </pic:spPr>
                </pic:pic>
              </a:graphicData>
            </a:graphic>
          </wp:inline>
        </w:drawing>
      </w:r>
    </w:p>
    <w:p>
      <w:pPr>
        <w:jc w:val="center"/>
        <w:spacing w:after="200"/>
      </w:pPr>
      <w:r>
        <w:rPr>
          <w:i/>
          <w:sz w:val="18"/>
          <w:color w:val="666666"/>
        </w:rPr>
        <w:t xml:space="preserve">Figura 6.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EXP-02 (instrumentado)</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EXP-03</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Prueba de configuración</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Proyecto Final 2</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6" name="Imagen 106"/>
            <a:graphic xmlns:a="http://schemas.openxmlformats.org/drawingml/2006/main">
              <a:graphicData uri="http://schemas.openxmlformats.org/drawingml/2006/picture">
                <pic:pic xmlns:pic="http://schemas.openxmlformats.org/drawingml/2006/picture">
                  <pic:nvPicPr>
                    <pic:cNvPr id="106" name="patron_latencia.png"/>
                    <pic:cNvPicPr/>
                  </pic:nvPicPr>
                  <pic:blipFill>
                    <a:blip xmlns:r="http://schemas.openxmlformats.org/officeDocument/2006/relationships" r:embed="rIdImg6"/>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7.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7" name="Imagen 107"/>
            <a:graphic xmlns:a="http://schemas.openxmlformats.org/drawingml/2006/main">
              <a:graphicData uri="http://schemas.openxmlformats.org/drawingml/2006/picture">
                <pic:pic xmlns:pic="http://schemas.openxmlformats.org/drawingml/2006/picture">
                  <pic:nvPicPr>
                    <pic:cNvPr id="107" name="patron_puertos_adaptadores.png"/>
                    <pic:cNvPicPr/>
                  </pic:nvPicPr>
                  <pic:blipFill>
                    <a:blip xmlns:r="http://schemas.openxmlformats.org/officeDocument/2006/relationships" r:embed="rIdImg7"/>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8.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8" name="Imagen 108"/>
            <a:graphic xmlns:a="http://schemas.openxmlformats.org/drawingml/2006/main">
              <a:graphicData uri="http://schemas.openxmlformats.org/drawingml/2006/picture">
                <pic:pic xmlns:pic="http://schemas.openxmlformats.org/drawingml/2006/picture">
                  <pic:nvPicPr>
                    <pic:cNvPr id="108" name="patron_tokenizacion.png"/>
                    <pic:cNvPicPr/>
                  </pic:nvPicPr>
                  <pic:blipFill>
                    <a:blip xmlns:r="http://schemas.openxmlformats.org/officeDocument/2006/relationships" r:embed="rIdImg8"/>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9.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Instrumentado dentro de EXP-02</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Diferido a Proyecto Final 2</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Prototipo móvil, semanas 6–7</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EXP-03</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Prueba de configuración</w:t>
            </w:r>
          </w:p>
        </w:tc>
      </w:tr>
    </w:tbl>
    <w:p>
      <w:r>
        <w:t/>
      </w:r>
    </w:p>
    <w:p>
      <w:r>
        <w:rPr>
          <w:b/>
        </w:rPr>
        <w:t xml:space="preserve">Cobertura sin experimentar todo.</w:t>
      </w:r>
      <w:r>
        <w:t xml:space="preserve"> Los nueve puntos de sensibilidad quedan atendidos, pero por mecanismos distintos y proporcionados a su incertidumbre: tres con experimento propio, uno instrumentado dentro de otro experimento, dos por verificación estática del grafo de dependencias, uno con el prototipo móvil, uno con una prueba de configuración y uno diferido al Proyecto Final 2. El criterio que decide cuál va a cada categoría se explica en §5.3.</w:t>
      </w:r>
    </w:p>
    <w:p>
      <w:pPr>
        <w:pStyle w:val="Heading3"/>
      </w:pPr>
      <w:r>
        <w:t xml:space="preserve">5.3 Cuántos experimentos y con qué criterio</w:t>
      </w:r>
    </w:p>
    <w:p>
      <w:r>
        <w:t xml:space="preserve">El curso no fija un número de experimentos: cada equipo debe justificar el suyo. El criterio del equipo combina una restricción de calendario con una regla de utilidad.</w:t>
      </w:r>
    </w:p>
    <w:p>
      <w:r>
        <w:rPr>
          <w:b/>
        </w:rPr>
        <w:t xml:space="preserve">La restricción de calendario.</w:t>
      </w:r>
      <w:r>
        <w:t xml:space="preserve"> El diseño de los experimentos ocurre en las semanas 4 y 5, pero su </w:t>
      </w:r>
      <w:r>
        <w:rPr>
          <w:b/>
        </w:rPr>
        <w:t xml:space="preserve">construcción y ejecución</w:t>
      </w:r>
      <w:r>
        <w:t xml:space="preserve"> ocurre en las semanas 6 y 7, que son las mismas dos semanas en que debe construirse toda la experiencia de usuario del prototipo web y móvil. No son dos semanas dedicadas a experimentar: son dos semanas compartidas.</w:t>
      </w:r>
    </w:p>
    <w:p>
      <w:pPr>
        <w:pStyle w:val="Code"/>
      </w:pPr>
      <w:r>
        <w:t xml:space="preserve">Capacidad del equipo, semanas 6 y 7   2 semanas × 19 pts   =  38 pts  ≈  76 h</w:t>
      </w:r>
    </w:p>
    <w:p>
      <w:pPr>
        <w:pStyle w:val="Code"/>
      </w:pPr>
      <w:r>
        <w:t xml:space="preserve">Reserva para experiencia de usuario   (mockups, wireframes, prototipo)  ≈  40 h</w:t>
      </w:r>
    </w:p>
    <w:p>
      <w:pPr>
        <w:pStyle w:val="Code"/>
      </w:pPr>
      <w:r>
        <w:t xml:space="preserve">──────────────────────────────────────────────────────────────────────────────</w:t>
      </w:r>
    </w:p>
    <w:p>
      <w:pPr>
        <w:pStyle w:val="Code"/>
      </w:pPr>
      <w:r>
        <w:t xml:space="preserve">Disponible para construir experimentos                                 ≈  36 h</w:t>
      </w:r>
    </w:p>
    <w:p>
      <w:r>
        <w:t/>
      </w:r>
    </w:p>
    <w:p>
      <w:r>
        <w:rPr>
          <w:b/>
        </w:rPr>
        <w:t xml:space="preserve">La regla de utilidad.</w:t>
      </w:r>
      <w:r>
        <w:t xml:space="preserve"> Solo se experimenta donde el punto de sensibilidad genera incertidumbre real. Un experimento sobre una decisión de la que ya se conoce el resultado consume horas sin producir información. Aplicando esa regla a los nueve puntos de sensibilidad de §5.2, solo cuatro resultaron de incertidumbre alta, y de esos cuatro uno queda cubierto parcialmente por otro.</w:t>
      </w:r>
    </w:p>
    <w:p>
      <w:r>
        <w:rPr>
          <w:b/>
        </w:rPr>
        <w:t xml:space="preserve">Resultado: tres experimentos, 34 horas.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Punto de sensibilidad</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Esfuerzo</w:t>
            </w:r>
          </w:p>
        </w:tc>
      </w:tr>
      <w:tr>
        <w:tc>
          <w:tcPr>
            <w:tcW w:w="0" w:type="auto"/>
          </w:tcPr>
          <w:p>
            <w:pPr>
              <w:spacing w:before="20" w:after="20"/>
            </w:pPr>
            <w:r>
              <w:rPr>
                <w:b/>
              </w:rPr>
              <w:t xml:space="preserve">EXP-01</w:t>
            </w:r>
            <w:r>
              <w:t xml:space="preserve"> Presupuesto de latencia</w:t>
            </w:r>
          </w:p>
        </w:tc>
        <w:tc>
          <w:tcPr>
            <w:tcW w:w="0" w:type="auto"/>
          </w:tcPr>
          <w:p>
            <w:pPr>
              <w:spacing w:before="20" w:after="20"/>
            </w:pPr>
            <w:r>
              <w:t xml:space="preserve">La tasa de acierto del caché de perfiles y el reparto del presupuesto entre saltos</w:t>
            </w:r>
          </w:p>
        </w:tc>
        <w:tc>
          <w:tcPr>
            <w:tcW w:w="0" w:type="auto"/>
          </w:tcPr>
          <w:p>
            <w:pPr>
              <w:spacing w:before="20" w:after="20"/>
            </w:pPr>
            <w:r>
              <w:t xml:space="preserve">ASR-1.1</w:t>
            </w:r>
          </w:p>
        </w:tc>
        <w:tc>
          <w:tcPr>
            <w:tcW w:w="0" w:type="auto"/>
          </w:tcPr>
          <w:p>
            <w:pPr>
              <w:spacing w:before="20" w:after="20"/>
            </w:pPr>
            <w:r>
              <w:t xml:space="preserve">10 h</w:t>
            </w:r>
          </w:p>
        </w:tc>
      </w:tr>
      <w:tr>
        <w:tc>
          <w:tcPr>
            <w:tcW w:w="0" w:type="auto"/>
          </w:tcPr>
          <w:p>
            <w:pPr>
              <w:spacing w:before="20" w:after="20"/>
            </w:pPr>
            <w:r>
              <w:rPr>
                <w:b/>
              </w:rPr>
              <w:t xml:space="preserve">EXP-02</w:t>
            </w:r>
            <w:r>
              <w:t xml:space="preserve"> Degradación elegante</w:t>
            </w:r>
          </w:p>
        </w:tc>
        <w:tc>
          <w:tcPr>
            <w:tcW w:w="0" w:type="auto"/>
          </w:tcPr>
          <w:p>
            <w:pPr>
              <w:spacing w:before="20" w:after="20"/>
            </w:pPr>
            <w:r>
              <w:t xml:space="preserve">La calibración del umbral y la ventana del interruptor de circuito</w:t>
            </w:r>
          </w:p>
        </w:tc>
        <w:tc>
          <w:tcPr>
            <w:tcW w:w="0" w:type="auto"/>
          </w:tcPr>
          <w:p>
            <w:pPr>
              <w:spacing w:before="20" w:after="20"/>
            </w:pPr>
            <w:r>
              <w:t xml:space="preserve">ASR-1.2</w:t>
            </w:r>
          </w:p>
        </w:tc>
        <w:tc>
          <w:tcPr>
            <w:tcW w:w="0" w:type="auto"/>
          </w:tcPr>
          <w:p>
            <w:pPr>
              <w:spacing w:before="20" w:after="20"/>
            </w:pPr>
            <w:r>
              <w:t xml:space="preserve">12 h</w:t>
            </w:r>
          </w:p>
        </w:tc>
      </w:tr>
      <w:tr>
        <w:tc>
          <w:tcPr>
            <w:tcW w:w="0" w:type="auto"/>
          </w:tcPr>
          <w:p>
            <w:pPr>
              <w:spacing w:before="20" w:after="20"/>
            </w:pPr>
            <w:r>
              <w:rPr>
                <w:b/>
              </w:rPr>
              <w:t xml:space="preserve">EXP-03</w:t>
            </w:r>
            <w:r>
              <w:t xml:space="preserve"> Tokenización de datos sensibles</w:t>
            </w:r>
          </w:p>
        </w:tc>
        <w:tc>
          <w:tcPr>
            <w:tcW w:w="0" w:type="auto"/>
          </w:tcPr>
          <w:p>
            <w:pPr>
              <w:spacing w:before="20" w:after="20"/>
            </w:pPr>
            <w:r>
              <w:t xml:space="preserve">Centralizar la custodia del dato en un único servicio</w:t>
            </w:r>
          </w:p>
        </w:tc>
        <w:tc>
          <w:tcPr>
            <w:tcW w:w="0" w:type="auto"/>
          </w:tcPr>
          <w:p>
            <w:pPr>
              <w:spacing w:before="20" w:after="20"/>
            </w:pPr>
            <w:r>
              <w:t xml:space="preserve">ASR-4.1</w:t>
            </w:r>
          </w:p>
        </w:tc>
        <w:tc>
          <w:tcPr>
            <w:tcW w:w="0" w:type="auto"/>
          </w:tcPr>
          <w:p>
            <w:pPr>
              <w:spacing w:before="20" w:after="20"/>
            </w:pPr>
            <w:r>
              <w:t xml:space="preserve">12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r>
        <w:t xml:space="preserve">Las 34 horas caben en las 36 disponibles, con dos horas de margen. Proponer más habría significado o bien no construirlos, o bien sacrificar la experiencia de usuario, que también se califica.</w:t>
      </w:r>
    </w:p>
    <w:p>
      <w:r>
        <w:rPr>
          <w:b/>
        </w:rPr>
        <w:t xml:space="preserve">Por qué estos tres y no otros.</w:t>
      </w:r>
      <w:r>
        <w:t xml:space="preserve"> Comparten una propiedad que los demás no tienen: </w:t>
      </w:r>
      <w:r>
        <w:rPr>
          <w:b/>
        </w:rPr>
        <w:t xml:space="preserve">un resultado adverso obligaría a rehacer estructura, no a ajustar un parámetro.</w:t>
      </w:r>
      <w:r>
        <w:t xml:space="preserve"> Si el caché no alcanza la tasa de acierto necesaria hay que cambiar cuándo se calcula la prima; si el interruptor no se puede calibrar hay que rediseñar el aislamiento de recursos; si la tokenización centralizada filtra el dato hay que cambiar cómo viajan los eventos. Los cinco descartados, en cambio, admiten corrección local.</w:t>
      </w:r>
    </w:p>
    <w:p>
      <w:pPr>
        <w:pStyle w:val="Heading3"/>
      </w:pPr>
      <w:r>
        <w:t xml:space="preserve">5.4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5.5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5.6 EXP-03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5.7 Alternativas evaluadas y descartadas</w:t>
      </w:r>
    </w:p>
    <w:p>
      <w:r>
        <w:t xml:space="preserve">Se diseñaron y evaluaron cinco experimentos adicionales que finalmente no se proponen. Documentar por qué se descartaron es parte del criterio de estimación: no se trata de no haberlos pensado.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Candidato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Por qué se descarta</w:t>
            </w:r>
          </w:p>
        </w:tc>
      </w:tr>
      <w:tr>
        <w:tc>
          <w:tcPr>
            <w:tcW w:w="0" w:type="auto"/>
          </w:tcPr>
          <w:p>
            <w:pPr>
              <w:spacing w:before="20" w:after="20"/>
            </w:pPr>
            <w:r>
              <w:rPr>
                <w:b/>
              </w:rPr>
              <w:t xml:space="preserve">Caída del caché</w:t>
            </w:r>
            <w:r>
              <w:t xml:space="preserve"> — verificar que la ruta de respaldo hacia PostgreSQL absorba el tráfico sin propagar la saturación</w:t>
            </w:r>
          </w:p>
        </w:tc>
        <w:tc>
          <w:tcPr>
            <w:tcW w:w="0" w:type="auto"/>
          </w:tcPr>
          <w:p>
            <w:pPr>
              <w:spacing w:before="20" w:after="20"/>
            </w:pPr>
            <w:r>
              <w:t xml:space="preserve">ASR-3.1</w:t>
            </w:r>
          </w:p>
        </w:tc>
        <w:tc>
          <w:tcPr>
            <w:tcW w:w="0" w:type="auto"/>
          </w:tcPr>
          <w:p>
            <w:pPr>
              <w:spacing w:before="20" w:after="20"/>
            </w:pPr>
            <w:r>
              <w:t xml:space="preserve">Se cubre parcialmente en el EXP-02: el interruptor de circuito y el mamparo que se calibran ahí son los mismos mecanismos que operan ante la caída de Redis. Se instrumenta el EXP-02 para registrar también ese escenario, en lugar de montar un experimento propio. Ahorra 8 horas</w:t>
            </w:r>
          </w:p>
        </w:tc>
      </w:tr>
      <w:tr>
        <w:tc>
          <w:tcPr>
            <w:tcW w:w="0" w:type="auto"/>
          </w:tcPr>
          <w:p>
            <w:pPr>
              <w:spacing w:before="20" w:after="20"/>
            </w:pPr>
            <w:r>
              <w:rPr>
                <w:b/>
              </w:rPr>
              <w:t xml:space="preserve">Modificabilidad de los puntos de extensión</w:t>
            </w:r>
            <w:r>
              <w:t xml:space="preserve"> — medir el costo de integrar una pasarela nueva</w:t>
            </w:r>
          </w:p>
        </w:tc>
        <w:tc>
          <w:tcPr>
            <w:tcW w:w="0" w:type="auto"/>
          </w:tcPr>
          <w:p>
            <w:pPr>
              <w:spacing w:before="20" w:after="20"/>
            </w:pPr>
            <w:r>
              <w:t xml:space="preserve">ASR-2.1 · ASR-2.2</w:t>
            </w:r>
          </w:p>
        </w:tc>
        <w:tc>
          <w:tcPr>
            <w:tcW w:w="0" w:type="auto"/>
          </w:tcPr>
          <w:p>
            <w:pPr>
              <w:spacing w:before="20" w:after="20"/>
            </w:pPr>
            <w:r>
              <w:t xml:space="preserve">Su medida es el conjunto de archivos que cambian, y eso se comprueba revisando el grafo de dependencias y el registro del control de versiones. No requiere montaje ni ejecución: es una verificación estática que se hace durante la revisión de código</w:t>
            </w:r>
          </w:p>
        </w:tc>
      </w:tr>
      <w:tr>
        <w:tc>
          <w:tcPr>
            <w:tcW w:w="0" w:type="auto"/>
          </w:tcPr>
          <w:p>
            <w:pPr>
              <w:spacing w:before="20" w:after="20"/>
            </w:pPr>
            <w:r>
              <w:rPr>
                <w:b/>
              </w:rPr>
              <w:t xml:space="preserve">Pérdida de una zona de disponibilidad</w:t>
            </w:r>
          </w:p>
        </w:tc>
        <w:tc>
          <w:tcPr>
            <w:tcW w:w="0" w:type="auto"/>
          </w:tcPr>
          <w:p>
            <w:pPr>
              <w:spacing w:before="20" w:after="20"/>
            </w:pPr>
            <w:r>
              <w:t xml:space="preserve">ASR-3.2</w:t>
            </w:r>
          </w:p>
        </w:tc>
        <w:tc>
          <w:tcPr>
            <w:tcW w:w="0" w:type="auto"/>
          </w:tcPr>
          <w:p>
            <w:pPr>
              <w:spacing w:before="20" w:after="20"/>
            </w:pPr>
            <w:r>
              <w:t xml:space="preserve">Requiere infraestructura multi-zona en la nube con costo real y un servicio de inyección de fallas. El presupuesto del curso no lo cubre. Se difiere al Proyecto Final 2, donde la infraestructura ya estará provisionada</w:t>
            </w:r>
          </w:p>
        </w:tc>
      </w:tr>
      <w:tr>
        <w:tc>
          <w:tcPr>
            <w:tcW w:w="0" w:type="auto"/>
          </w:tcPr>
          <w:p>
            <w:pPr>
              <w:spacing w:before="20" w:after="20"/>
            </w:pPr>
            <w:r>
              <w:rPr>
                <w:b/>
              </w:rPr>
              <w:t xml:space="preserve">Continuidad del cliente móvil sin conexión</w:t>
            </w:r>
          </w:p>
        </w:tc>
        <w:tc>
          <w:tcPr>
            <w:tcW w:w="0" w:type="auto"/>
          </w:tcPr>
          <w:p>
            <w:pPr>
              <w:spacing w:before="20" w:after="20"/>
            </w:pPr>
            <w:r>
              <w:t xml:space="preserve">ASR-3.3</w:t>
            </w:r>
          </w:p>
        </w:tc>
        <w:tc>
          <w:tcPr>
            <w:tcW w:w="0" w:type="auto"/>
          </w:tcPr>
          <w:p>
            <w:pPr>
              <w:spacing w:before="20" w:after="20"/>
            </w:pPr>
            <w:r>
              <w:t xml:space="preserve">El prototipo móvil que se construye en las semanas 6 y 7 como parte de la experiencia de usuario ya ejercita este escenario. Validarlo ahí evita duplicar el montaje del emulador</w:t>
            </w:r>
          </w:p>
        </w:tc>
      </w:tr>
      <w:tr>
        <w:tc>
          <w:tcPr>
            <w:tcW w:w="0" w:type="auto"/>
          </w:tcPr>
          <w:p>
            <w:pPr>
              <w:spacing w:before="20" w:after="20"/>
            </w:pPr>
            <w:r>
              <w:rPr>
                <w:b/>
              </w:rPr>
              <w:t xml:space="preserve">Integridad de pólizas emitidas</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r>
        <w:t/>
      </w:r>
    </w:p>
    <w:p>
      <w:pPr>
        <w:pStyle w:val="Quote"/>
      </w:pPr>
      <w:r>
        <w:t xml:space="preserve">Esta tabla responde a una distinción que el curso subraya: </w:t>
      </w:r>
      <w:r>
        <w:rPr>
          <w:b/>
        </w:rPr>
        <w:t xml:space="preserve">un experimento valida una hipótesis de diseño, no el funcionamiento de una herramienta.</w:t>
      </w:r>
      <w:r>
        <w:t xml:space="preserve"> Ninguno de los tres experimentos propuestos prueba si una tecnología hace lo que promete; los tres prueban si una decisión del equipo produce la propiedad de calidad que se le atribuyó.</w:t>
      </w:r>
    </w:p>
    <w:p>
      <w:pPr>
        <w:pStyle w:val="Heading3"/>
      </w:pPr>
      <w:r>
        <w:t xml:space="preserve">5.8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5.9 Distribución de actividades por integrante</w:t>
      </w:r>
    </w:p>
    <w:p>
      <w:r>
        <w:t xml:space="preserve">Reparto de las 34 horas de construcción y ejecución de los tres experimentos, durante las semanas 6 y 7.</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w:t>
            </w:r>
          </w:p>
        </w:tc>
        <w:tc>
          <w:tcPr>
            <w:tcW w:w="0" w:type="auto"/>
          </w:tcPr>
          <w:p>
            <w:pPr>
              <w:spacing w:before="20" w:after="20"/>
            </w:pPr>
            <w:r>
              <w:t xml:space="preserve">EXP-01 · EXP-02</w:t>
            </w:r>
          </w:p>
        </w:tc>
        <w:tc>
          <w:tcPr>
            <w:tcW w:w="0" w:type="auto"/>
          </w:tcPr>
          <w:p>
            <w:pPr>
              <w:spacing w:before="20" w:after="20"/>
            </w:pPr>
            <w:r>
              <w:t xml:space="preserve">9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de cotización</w:t>
            </w:r>
          </w:p>
        </w:tc>
        <w:tc>
          <w:tcPr>
            <w:tcW w:w="0" w:type="auto"/>
          </w:tcPr>
          <w:p>
            <w:pPr>
              <w:spacing w:before="20" w:after="20"/>
            </w:pPr>
            <w:r>
              <w:t xml:space="preserve">EXP-01 · EXP-03</w:t>
            </w:r>
          </w:p>
        </w:tc>
        <w:tc>
          <w:tcPr>
            <w:tcW w:w="0" w:type="auto"/>
          </w:tcPr>
          <w:p>
            <w:pPr>
              <w:spacing w:before="20" w:after="20"/>
            </w:pPr>
            <w:r>
              <w:t xml:space="preserve">9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sembrar los datos cebo e inspeccionar volcados, temas del bus y tráfico capturado</w:t>
            </w:r>
          </w:p>
        </w:tc>
        <w:tc>
          <w:tcPr>
            <w:tcW w:w="0" w:type="auto"/>
          </w:tcPr>
          <w:p>
            <w:pPr>
              <w:spacing w:before="20" w:after="20"/>
            </w:pPr>
            <w:r>
              <w:t xml:space="preserve">EXP-01 · EXP-03</w:t>
            </w:r>
          </w:p>
        </w:tc>
        <w:tc>
          <w:tcPr>
            <w:tcW w:w="0" w:type="auto"/>
          </w:tcPr>
          <w:p>
            <w:pPr>
              <w:spacing w:before="20" w:after="20"/>
            </w:pPr>
            <w:r>
              <w:t xml:space="preserve">8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ejecutar las corridas, consolidar las mediciones y redactar el informe de resultados</w:t>
            </w:r>
          </w:p>
        </w:tc>
        <w:tc>
          <w:tcPr>
            <w:tcW w:w="0" w:type="auto"/>
          </w:tcPr>
          <w:p>
            <w:pPr>
              <w:spacing w:before="20" w:after="20"/>
            </w:pPr>
            <w:r>
              <w:t xml:space="preserve">EXP-01 · EXP-02</w:t>
            </w:r>
          </w:p>
        </w:tc>
        <w:tc>
          <w:tcPr>
            <w:tcW w:w="0" w:type="auto"/>
          </w:tcPr>
          <w:p>
            <w:pPr>
              <w:spacing w:before="20" w:after="20"/>
            </w:pPr>
            <w:r>
              <w:t xml:space="preserve">8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pPr>
        <w:pStyle w:val="Quote"/>
      </w:pPr>
      <w:r>
        <w:t xml:space="preserve">Cada integrante participa en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r>
        <w:t xml:space="preserve">&gt;</w:t>
      </w:r>
    </w:p>
    <w:p>
      <w:pPr>
        <w:pStyle w:val="Quote"/>
      </w:pPr>
      <w:r>
        <w:t xml:space="preserve">Estas 34 horas conviven en las semanas 6 y 7 con la construcción de la experiencia de usuario, para la que se reservan unas 40 horas. La suma se aproxima a las 76 horas efectivas de esas dos semanas, sin holgura.</w:t>
      </w:r>
    </w:p>
    <w:p>
      <w:pPr>
        <w:pStyle w:val="Heading3"/>
      </w:pPr>
      <w:r>
        <w:t xml:space="preserve">5.10 Resumen y calendario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Diseño</w:t>
            </w:r>
          </w:p>
        </w:tc>
        <w:tc>
          <w:tcPr>
            <w:tcW w:w="0" w:type="auto"/>
            <w:shd w:val="clear" w:fill="EDF2F7"/>
          </w:tcPr>
          <w:p>
            <w:pPr>
              <w:spacing w:before="20" w:after="20"/>
            </w:pPr>
            <w:r>
              <w:rPr>
                <w:b/>
              </w:rPr>
              <w:t xml:space="preserve">Construcción y ejecución</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Semanas 4–5</w:t>
            </w:r>
          </w:p>
        </w:tc>
        <w:tc>
          <w:tcPr>
            <w:tcW w:w="0" w:type="auto"/>
          </w:tcPr>
          <w:p>
            <w:pPr>
              <w:spacing w:before="20" w:after="20"/>
            </w:pPr>
            <w:r>
              <w:t xml:space="preserve">Semana 6</w:t>
            </w:r>
          </w:p>
        </w:tc>
      </w:tr>
      <w:tr>
        <w:tc>
          <w:tcPr>
            <w:tcW w:w="0" w:type="auto"/>
          </w:tcPr>
          <w:p>
            <w:pPr>
              <w:spacing w:before="20" w:after="20"/>
            </w:pPr>
            <w:r>
              <w:t xml:space="preserve">EXP-02 Degradación elegante</w:t>
            </w:r>
          </w:p>
        </w:tc>
        <w:tc>
          <w:tcPr>
            <w:tcW w:w="0" w:type="auto"/>
          </w:tcPr>
          <w:p>
            <w:pPr>
              <w:spacing w:before="20" w:after="20"/>
            </w:pPr>
            <w:r>
              <w:t xml:space="preserve">ASR-1.2 · ASR-3.1</w:t>
            </w:r>
          </w:p>
        </w:tc>
        <w:tc>
          <w:tcPr>
            <w:tcW w:w="0" w:type="auto"/>
          </w:tcPr>
          <w:p>
            <w:pPr>
              <w:spacing w:before="20" w:after="20"/>
            </w:pPr>
            <w:r>
              <w:t xml:space="preserve">SOL-37 · SOL-29</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Semanas 6–7</w:t>
            </w:r>
          </w:p>
        </w:tc>
      </w:tr>
      <w:tr>
        <w:tc>
          <w:tcPr>
            <w:tcW w:w="0" w:type="auto"/>
          </w:tcPr>
          <w:p>
            <w:pPr>
              <w:spacing w:before="20" w:after="20"/>
            </w:pPr>
            <w:r>
              <w:t xml:space="preserve">EXP-03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 7</w:t>
            </w:r>
          </w:p>
        </w:tc>
      </w:tr>
      <w:tr>
        <w:tc>
          <w:tcPr>
            <w:tcW w:w="0" w:type="auto"/>
          </w:tcPr>
          <w:p>
            <w:pPr>
              <w:spacing w:before="20" w:after="20"/>
            </w:pPr>
            <w:r>
              <w:rPr>
                <w:b/>
              </w:rPr>
              <w:t xml:space="preserve">Total</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34 h</w:t>
            </w:r>
          </w:p>
        </w:tc>
        <w:tc>
          <w:tcPr>
            <w:tcW w:w="0" w:type="auto"/>
          </w:tcPr>
          <w:p>
            <w:pPr>
              <w:spacing w:before="20" w:after="20"/>
            </w:pPr>
            <w:r>
              <w:t/>
            </w:r>
          </w:p>
        </w:tc>
        <w:tc>
          <w:tcPr>
            <w:tcW w:w="0" w:type="auto"/>
          </w:tcPr>
          <w:p>
            <w:pPr>
              <w:spacing w:before="20" w:after="20"/>
            </w:pPr>
            <w:r>
              <w:t/>
            </w:r>
          </w:p>
        </w:tc>
      </w:tr>
    </w:tbl>
    <w:p>
      <w:r>
        <w:t/>
      </w:r>
    </w:p>
    <w:p>
      <w:r>
        <w:rPr>
          <w:b/>
        </w:rPr>
        <w:t xml:space="preserve">Cómo se reparte el calendario.</w:t>
      </w:r>
      <w:r>
        <w:t xml:space="preserve"> El diseño de los tres experimentos ocurre en las semanas 4 y 5 —esta entrega contiene la versión de avance y la semana 5 cierra la versión final—. La construcción y ejecución ocurre en las semanas 6 y 7, compartidas con la experiencia de usuario. Los resultados y el ajuste de las decisiones de diseño que se deriven de ellos se consolidan en la semana 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Experiencia de usuario</w:t>
            </w:r>
          </w:p>
        </w:tc>
      </w:tr>
      <w:tr>
        <w:tc>
          <w:tcPr>
            <w:tcW w:w="0" w:type="auto"/>
          </w:tcPr>
          <w:p>
            <w:pPr>
              <w:spacing w:before="20" w:after="20"/>
            </w:pPr>
            <w:r>
              <w:t xml:space="preserve">4</w:t>
            </w:r>
          </w:p>
        </w:tc>
        <w:tc>
          <w:tcPr>
            <w:tcW w:w="0" w:type="auto"/>
          </w:tcPr>
          <w:p>
            <w:pPr>
              <w:spacing w:before="20" w:after="20"/>
            </w:pPr>
            <w:r>
              <w:t xml:space="preserve">Diseño — versión de avance </w:t>
            </w:r>
            <w:r>
              <w:rPr>
                <w:i/>
              </w:rPr>
              <w:t xml:space="preserve">(esta entrega)</w:t>
            </w:r>
          </w:p>
        </w:tc>
        <w:tc>
          <w:tcPr>
            <w:tcW w:w="0" w:type="auto"/>
          </w:tcPr>
          <w:p>
            <w:pPr>
              <w:spacing w:before="20" w:after="20"/>
            </w:pPr>
            <w:r>
              <w:t xml:space="preserve">—</w:t>
            </w:r>
          </w:p>
        </w:tc>
      </w:tr>
      <w:tr>
        <w:tc>
          <w:tcPr>
            <w:tcW w:w="0" w:type="auto"/>
          </w:tcPr>
          <w:p>
            <w:pPr>
              <w:spacing w:before="20" w:after="20"/>
            </w:pPr>
            <w:r>
              <w:t xml:space="preserve">5</w:t>
            </w:r>
          </w:p>
        </w:tc>
        <w:tc>
          <w:tcPr>
            <w:tcW w:w="0" w:type="auto"/>
          </w:tcPr>
          <w:p>
            <w:pPr>
              <w:spacing w:before="20" w:after="20"/>
            </w:pPr>
            <w:r>
              <w:t xml:space="preserve">Diseño — versión final</w:t>
            </w:r>
          </w:p>
        </w:tc>
        <w:tc>
          <w:tcPr>
            <w:tcW w:w="0" w:type="auto"/>
          </w:tcPr>
          <w:p>
            <w:pPr>
              <w:spacing w:before="20" w:after="20"/>
            </w:pPr>
            <w:r>
              <w:t xml:space="preserve">Definición de recorridos y wireframes de baja fidelidad</w:t>
            </w:r>
          </w:p>
        </w:tc>
      </w:tr>
      <w:tr>
        <w:tc>
          <w:tcPr>
            <w:tcW w:w="0" w:type="auto"/>
          </w:tcPr>
          <w:p>
            <w:pPr>
              <w:spacing w:before="20" w:after="20"/>
            </w:pPr>
            <w:r>
              <w:t xml:space="preserve">6</w:t>
            </w:r>
          </w:p>
        </w:tc>
        <w:tc>
          <w:tcPr>
            <w:tcW w:w="0" w:type="auto"/>
          </w:tcPr>
          <w:p>
            <w:pPr>
              <w:spacing w:before="20" w:after="20"/>
            </w:pPr>
            <w:r>
              <w:t xml:space="preserve">Construcción y ejecución de EXP-01 y EXP-02</w:t>
            </w:r>
          </w:p>
        </w:tc>
        <w:tc>
          <w:tcPr>
            <w:tcW w:w="0" w:type="auto"/>
          </w:tcPr>
          <w:p>
            <w:pPr>
              <w:spacing w:before="20" w:after="20"/>
            </w:pPr>
            <w:r>
              <w:t xml:space="preserve">Mockups de alta fidelidad del recorrido web</w:t>
            </w:r>
          </w:p>
        </w:tc>
      </w:tr>
      <w:tr>
        <w:tc>
          <w:tcPr>
            <w:tcW w:w="0" w:type="auto"/>
          </w:tcPr>
          <w:p>
            <w:pPr>
              <w:spacing w:before="20" w:after="20"/>
            </w:pPr>
            <w:r>
              <w:t xml:space="preserve">7</w:t>
            </w:r>
          </w:p>
        </w:tc>
        <w:tc>
          <w:tcPr>
            <w:tcW w:w="0" w:type="auto"/>
          </w:tcPr>
          <w:p>
            <w:pPr>
              <w:spacing w:before="20" w:after="20"/>
            </w:pPr>
            <w:r>
              <w:t xml:space="preserve">Ejecución de EXP-02 y EXP-03</w:t>
            </w:r>
          </w:p>
        </w:tc>
        <w:tc>
          <w:tcPr>
            <w:tcW w:w="0" w:type="auto"/>
          </w:tcPr>
          <w:p>
            <w:pPr>
              <w:spacing w:before="20" w:after="20"/>
            </w:pPr>
            <w:r>
              <w:t xml:space="preserve">Prototipo móvil, incluida la consulta sin conexión</w:t>
            </w:r>
          </w:p>
        </w:tc>
      </w:tr>
      <w:tr>
        <w:tc>
          <w:tcPr>
            <w:tcW w:w="0" w:type="auto"/>
          </w:tcPr>
          <w:p>
            <w:pPr>
              <w:spacing w:before="20" w:after="20"/>
            </w:pPr>
            <w:r>
              <w:t xml:space="preserve">8</w:t>
            </w:r>
          </w:p>
        </w:tc>
        <w:tc>
          <w:tcPr>
            <w:tcW w:w="0" w:type="auto"/>
          </w:tcPr>
          <w:p>
            <w:pPr>
              <w:spacing w:before="20" w:after="20"/>
            </w:pPr>
            <w:r>
              <w:t xml:space="preserve">Análisis de resultados y ajuste del diseño</w:t>
            </w:r>
          </w:p>
        </w:tc>
        <w:tc>
          <w:tcPr>
            <w:tcW w:w="0" w:type="auto"/>
          </w:tcPr>
          <w:p>
            <w:pPr>
              <w:spacing w:before="20" w:after="20"/>
            </w:pPr>
            <w:r>
              <w:t xml:space="preserve">Consolidación y cierre</w:t>
            </w:r>
          </w:p>
        </w:tc>
      </w:tr>
    </w:tbl>
    <w:p>
      <w:r>
        <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EXP-03 en una verificación de seguridad dentro del proceso de integración.</w:t>
      </w:r>
    </w:p>
    <w:p>
      <w:pPr>
        <w:pBdr>
          <w:bottom w:val="single" w:sz="6" w:space="1" w:color="D0D0D0"/>
        </w:pBdr>
      </w:pPr>
    </w:p>
    <w:p>
      <w:pPr>
        <w:pStyle w:val="Heading2"/>
      </w:pPr>
      <w:r>
        <w:t xml:space="preserve">7. Capacidad del equipo, esfuerzo y plan de trabajo</w:t>
      </w:r>
    </w:p>
    <w:p>
      <w:pPr>
        <w:pStyle w:val="Heading3"/>
      </w:pPr>
      <w:r>
        <w:t xml:space="preserve">7.1 Qué es un punto de historia</w:t>
      </w:r>
    </w:p>
    <w:p>
      <w:r>
        <w:t xml:space="preserve">Un </w:t>
      </w:r>
      <w:r>
        <w:rPr>
          <w:b/>
        </w:rPr>
        <w:t xml:space="preserve">punto de historia</w:t>
      </w:r>
      <w:r>
        <w:t xml:space="preserve"> es una medida </w:t>
      </w:r>
      <w:r>
        <w:rPr>
          <w:b/>
        </w:rPr>
        <w:t xml:space="preserve">relativa</w:t>
      </w:r>
      <w:r>
        <w:t xml:space="preserve"> del esfuerzo que cuesta completar una historia. No es una unidad de tiempo. Mide tamaño, considerando tres cosas a la vez: cuánto trabajo hay, cuánta complejidad tiene y cuánta incertidumbre queda.</w:t>
      </w:r>
    </w:p>
    <w:p>
      <w:r>
        <w:rPr>
          <w:b/>
        </w:rPr>
        <w:t xml:space="preserve">Por qué el equipo no estima directamente en horas.</w:t>
      </w:r>
      <w:r>
        <w:t xml:space="preserve"> Una misma historia le toma tiempos distintos a personas distintas, de modo que una estimación en horas depende de quién la haga y deja de ser comparable. En cambio, el juicio de que «esta historia es del doble de tamaño que aquella» es estable entre personas. Por eso se estima el tamaño relativo y solo después se convierte a tiempo usando la velocidad observada del equipo.</w:t>
      </w:r>
    </w:p>
    <w:p>
      <w:r>
        <w:rPr>
          <w:b/>
        </w:rPr>
        <w:t xml:space="preserve">Escala usada.</w:t>
      </w:r>
      <w:r>
        <w:t xml:space="preserve"> Se emplea la sucesión de Fibonacci —1, 2, 3, 5, 8, 13— porque los saltos crecientes reflejan que la incertidumbre aumenta con el tamaño: distinguir entre 1 y 2 puntos es razonable, pero pretender distinguir entre 20 y 21 es falsa precisión.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Significado en este proyecto</w:t>
            </w:r>
          </w:p>
        </w:tc>
        <w:tc>
          <w:tcPr>
            <w:tcW w:w="0" w:type="auto"/>
            <w:shd w:val="clear" w:fill="EDF2F7"/>
          </w:tcPr>
          <w:p>
            <w:pPr>
              <w:spacing w:before="20" w:after="20"/>
            </w:pPr>
            <w:r>
              <w:rPr>
                <w:b/>
              </w:rPr>
              <w:t xml:space="preserve">Ejemplo del backlog</w:t>
            </w:r>
          </w:p>
        </w:tc>
      </w:tr>
      <w:tr>
        <w:tc>
          <w:tcPr>
            <w:tcW w:w="0" w:type="auto"/>
          </w:tcPr>
          <w:p>
            <w:pPr>
              <w:spacing w:before="20" w:after="20"/>
            </w:pPr>
            <w:r>
              <w:rPr>
                <w:b/>
              </w:rPr>
              <w:t xml:space="preserve">1</w:t>
            </w:r>
          </w:p>
        </w:tc>
        <w:tc>
          <w:tcPr>
            <w:tcW w:w="0" w:type="auto"/>
          </w:tcPr>
          <w:p>
            <w:pPr>
              <w:spacing w:before="20" w:after="20"/>
            </w:pPr>
            <w:r>
              <w:t xml:space="preserve">Cambio trivial, sin lógica nueva</w:t>
            </w:r>
          </w:p>
        </w:tc>
        <w:tc>
          <w:tcPr>
            <w:tcW w:w="0" w:type="auto"/>
          </w:tcPr>
          <w:p>
            <w:pPr>
              <w:spacing w:before="20" w:after="20"/>
            </w:pPr>
            <w:r>
              <w:t xml:space="preserve">—</w:t>
            </w:r>
          </w:p>
        </w:tc>
      </w:tr>
      <w:tr>
        <w:tc>
          <w:tcPr>
            <w:tcW w:w="0" w:type="auto"/>
          </w:tcPr>
          <w:p>
            <w:pPr>
              <w:spacing w:before="20" w:after="20"/>
            </w:pPr>
            <w:r>
              <w:rPr>
                <w:b/>
              </w:rPr>
              <w:t xml:space="preserve">2</w:t>
            </w:r>
          </w:p>
        </w:tc>
        <w:tc>
          <w:tcPr>
            <w:tcW w:w="0" w:type="auto"/>
          </w:tcPr>
          <w:p>
            <w:pPr>
              <w:spacing w:before="20" w:after="20"/>
            </w:pPr>
            <w:r>
              <w:t xml:space="preserve">Una pantalla o un endpoint simple, sin integración externa</w:t>
            </w:r>
          </w:p>
        </w:tc>
        <w:tc>
          <w:tcPr>
            <w:tcW w:w="0" w:type="auto"/>
          </w:tcPr>
          <w:p>
            <w:pPr>
              <w:spacing w:before="20" w:after="20"/>
            </w:pPr>
            <w:r>
              <w:t xml:space="preserve">FE-01.1 Iniciar cotización seleccionando ramo</w:t>
            </w:r>
          </w:p>
        </w:tc>
      </w:tr>
      <w:tr>
        <w:tc>
          <w:tcPr>
            <w:tcW w:w="0" w:type="auto"/>
          </w:tcPr>
          <w:p>
            <w:pPr>
              <w:spacing w:before="20" w:after="20"/>
            </w:pPr>
            <w:r>
              <w:rPr>
                <w:b/>
              </w:rPr>
              <w:t xml:space="preserve">3</w:t>
            </w:r>
          </w:p>
        </w:tc>
        <w:tc>
          <w:tcPr>
            <w:tcW w:w="0" w:type="auto"/>
          </w:tcPr>
          <w:p>
            <w:pPr>
              <w:spacing w:before="20" w:after="20"/>
            </w:pPr>
            <w:r>
              <w:t xml:space="preserve">Lógica propia o una integración conocida</w:t>
            </w:r>
          </w:p>
        </w:tc>
        <w:tc>
          <w:tcPr>
            <w:tcW w:w="0" w:type="auto"/>
          </w:tcPr>
          <w:p>
            <w:pPr>
              <w:spacing w:before="20" w:after="20"/>
            </w:pPr>
            <w:r>
              <w:t xml:space="preserve">FE-01.2 Autorizar consulta Open Finance</w:t>
            </w:r>
          </w:p>
        </w:tc>
      </w:tr>
      <w:tr>
        <w:tc>
          <w:tcPr>
            <w:tcW w:w="0" w:type="auto"/>
          </w:tcPr>
          <w:p>
            <w:pPr>
              <w:spacing w:before="20" w:after="20"/>
            </w:pPr>
            <w:r>
              <w:rPr>
                <w:b/>
              </w:rPr>
              <w:t xml:space="preserve">5</w:t>
            </w:r>
          </w:p>
        </w:tc>
        <w:tc>
          <w:tcPr>
            <w:tcW w:w="0" w:type="auto"/>
          </w:tcPr>
          <w:p>
            <w:pPr>
              <w:spacing w:before="20" w:after="20"/>
            </w:pPr>
            <w:r>
              <w:t xml:space="preserve">Varios componentes o una integración con incertidumbre</w:t>
            </w:r>
          </w:p>
        </w:tc>
        <w:tc>
          <w:tcPr>
            <w:tcW w:w="0" w:type="auto"/>
          </w:tcPr>
          <w:p>
            <w:pPr>
              <w:spacing w:before="20" w:after="20"/>
            </w:pPr>
            <w:r>
              <w:t xml:space="preserve">FE-05.2 Verificar identidad con prueba de vida</w:t>
            </w:r>
          </w:p>
        </w:tc>
      </w:tr>
      <w:tr>
        <w:tc>
          <w:tcPr>
            <w:tcW w:w="0" w:type="auto"/>
          </w:tcPr>
          <w:p>
            <w:pPr>
              <w:spacing w:before="20" w:after="20"/>
            </w:pPr>
            <w:r>
              <w:rPr>
                <w:b/>
              </w:rPr>
              <w:t xml:space="preserve">8</w:t>
            </w:r>
          </w:p>
        </w:tc>
        <w:tc>
          <w:tcPr>
            <w:tcW w:w="0" w:type="auto"/>
          </w:tcPr>
          <w:p>
            <w:pPr>
              <w:spacing w:before="20" w:after="20"/>
            </w:pPr>
            <w:r>
              <w:t xml:space="preserve">Mecanismo transversal que toca varios servicios</w:t>
            </w:r>
          </w:p>
        </w:tc>
        <w:tc>
          <w:tcPr>
            <w:tcW w:w="0" w:type="auto"/>
          </w:tcPr>
          <w:p>
            <w:pPr>
              <w:spacing w:before="20" w:after="20"/>
            </w:pPr>
            <w:r>
              <w:t xml:space="preserve">HU-ARQ-07 Optimización de latencia del scoring</w:t>
            </w:r>
          </w:p>
        </w:tc>
      </w:tr>
      <w:tr>
        <w:tc>
          <w:tcPr>
            <w:tcW w:w="0" w:type="auto"/>
          </w:tcPr>
          <w:p>
            <w:pPr>
              <w:spacing w:before="20" w:after="20"/>
            </w:pPr>
            <w:r>
              <w:rPr>
                <w:b/>
              </w:rPr>
              <w:t xml:space="preserve">13</w:t>
            </w:r>
          </w:p>
        </w:tc>
        <w:tc>
          <w:tcPr>
            <w:tcW w:w="0" w:type="auto"/>
          </w:tcPr>
          <w:p>
            <w:pPr>
              <w:spacing w:before="20" w:after="20"/>
            </w:pPr>
            <w:r>
              <w:t xml:space="preserve">Mecanismo transversal con alta incertidumbre; candidato a dividirse</w:t>
            </w:r>
          </w:p>
        </w:tc>
        <w:tc>
          <w:tcPr>
            <w:tcW w:w="0" w:type="auto"/>
          </w:tcPr>
          <w:p>
            <w:pPr>
              <w:spacing w:before="20" w:after="20"/>
            </w:pPr>
            <w:r>
              <w:t xml:space="preserve">HU-ARQ-06 Tolerancia a fallos y failover</w:t>
            </w:r>
          </w:p>
        </w:tc>
      </w:tr>
    </w:tbl>
    <w:p>
      <w:r>
        <w:t/>
      </w:r>
    </w:p>
    <w:p>
      <w:r>
        <w:rPr>
          <w:b/>
        </w:rPr>
        <w:t xml:space="preserve">Regla de tamaño.</w:t>
      </w:r>
      <w:r>
        <w:t xml:space="preserve"> Ninguna historia funcional del backlog supera 5 puntos. Las dos historias de 13 puntos son de arquitectura y se conservan sin dividir porque su validación es un experimento único e indivisible.</w:t>
      </w:r>
    </w:p>
    <w:p>
      <w:r>
        <w:rPr>
          <w:b/>
        </w:rPr>
        <w:t xml:space="preserve">Conversión a horas.</w:t>
      </w:r>
      <w:r>
        <w:t xml:space="preserve"> Para poder contrastar el backlog contra un calendario fijo de ocho semanas, el equipo adoptó una equivalencia de referencia:</w:t>
      </w:r>
    </w:p>
    <w:p>
      <w:pPr>
        <w:pStyle w:val="Code"/>
      </w:pPr>
      <w:r>
        <w:t xml:space="preserve">1 punto de historia  =  2 horas de trabajo efectivo</w:t>
      </w:r>
    </w:p>
    <w:p>
      <w:r>
        <w:t/>
      </w:r>
    </w:p>
    <w:p>
      <w:r>
        <w:t xml:space="preserve">Esta equivalencia se fijó calibrando contra historias ya conocidas del proyecto y </w:t>
      </w:r>
      <w:r>
        <w:rPr>
          <w:b/>
        </w:rPr>
        <w:t xml:space="preserve">se recalibrará al cerrar el primer sprint</w:t>
      </w:r>
      <w:r>
        <w:t xml:space="preserve">, cuando exista velocidad medida en lugar de estimada. La conversión se usa solo para planear capacidad; la estimación de cada historia sigue siendo relativa.</w:t>
      </w:r>
    </w:p>
    <w:p>
      <w:pPr>
        <w:pStyle w:val="Heading3"/>
      </w:pPr>
      <w:r>
        <w:t xml:space="preserve">7.2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w:t>
      </w:r>
      <w:r>
        <w:rPr>
          <w:b/>
        </w:rPr>
        <w:t xml:space="preserve">factor de carga del 80 %</w:t>
      </w:r>
      <w:r>
        <w:t xml:space="preserve">,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del proyecto</w:t>
      </w:r>
    </w:p>
    <w:p>
      <w:pPr>
        <w:pStyle w:val="Code"/>
      </w:pPr>
      <w:r>
        <w:t xml:space="preserve">19 puntos/semana  ×  8 semanas  =  152 puntos</w:t>
      </w:r>
    </w:p>
    <w:p>
      <w:r>
        <w:t/>
      </w:r>
    </w:p>
    <w:p>
      <w:r>
        <w:rPr>
          <w:b/>
        </w:rPr>
        <w:t xml:space="preserve">Paso 5 — Capacidad realmente disponible para construir</w:t>
      </w:r>
    </w:p>
    <w:p>
      <w:r>
        <w:t xml:space="preserve">Las semanas 1 a 4 se dedicaron a acta de constitución, EDT, visión de arquitectura, escenarios de calidad, estrategia de pruebas y diseño de experimentos. Ese trabajo era necesario, pero no produjo historias del backlog de producto. Esa capacidad ya está consumida.</w:t>
      </w:r>
    </w:p>
    <w:p>
      <w:pPr>
        <w:pStyle w:val="Code"/>
      </w:pPr>
      <w:r>
        <w:t xml:space="preserve">Capacidad total del proyecto            8 semanas × 19 pts  =  152 pts</w:t>
      </w:r>
    </w:p>
    <w:p>
      <w:pPr>
        <w:pStyle w:val="Code"/>
      </w:pPr>
      <w:r>
        <w:t xml:space="preserve">Consumida en semanas 1–4 (arquitectura)  4 semanas × 19 pts  =   76 pts</w:t>
      </w:r>
    </w:p>
    <w:p>
      <w:pPr>
        <w:pStyle w:val="Code"/>
      </w:pPr>
      <w:r>
        <w:t xml:space="preserve">──────────────────────────────────────────────────────────────────────</w:t>
      </w:r>
    </w:p>
    <w:p>
      <w:pPr>
        <w:pStyle w:val="Code"/>
      </w:pPr>
      <w:r>
        <w:t xml:space="preserve">Disponible para construcción (semanas 5–8)  4 semanas × 19 pts  =  76 pts</w:t>
      </w:r>
    </w:p>
    <w:p>
      <w:r>
        <w:t/>
      </w:r>
    </w:p>
    <w:p>
      <w:pPr>
        <w:pStyle w:val="Quote"/>
      </w:pPr>
      <w:r>
        <w:rPr>
          <w:b/>
        </w:rPr>
        <w:t xml:space="preserve">Capacidad disponible para construir historias: 76 puntos.</w:t>
      </w:r>
    </w:p>
    <w:p>
      <w:pPr>
        <w:pStyle w:val="Heading3"/>
      </w:pPr>
      <w:r>
        <w:t xml:space="preserve">7.3 Capacidad por integrante</w:t>
      </w:r>
    </w:p>
    <w:p>
      <w:r>
        <w:t xml:space="preserve">La misma cuenta, vista por persona, muestra cuánto aporta cada integrante a esos 76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semanas 5 a 8</w:t>
            </w:r>
          </w:p>
        </w:tc>
        <w:tc>
          <w:tcPr>
            <w:tcW w:w="0" w:type="auto"/>
          </w:tcPr>
          <w:p>
            <w:pPr>
              <w:spacing w:before="20" w:after="20"/>
            </w:pPr>
            <w:r>
              <w:t xml:space="preserve">12 h/semana × 4 semanas</w:t>
            </w:r>
          </w:p>
        </w:tc>
        <w:tc>
          <w:tcPr>
            <w:tcW w:w="0" w:type="auto"/>
          </w:tcPr>
          <w:p>
            <w:pPr>
              <w:spacing w:before="20" w:after="20"/>
            </w:pPr>
            <w:r>
              <w:t xml:space="preserve">48 h</w:t>
            </w:r>
          </w:p>
        </w:tc>
      </w:tr>
      <w:tr>
        <w:tc>
          <w:tcPr>
            <w:tcW w:w="0" w:type="auto"/>
          </w:tcPr>
          <w:p>
            <w:pPr>
              <w:spacing w:before="20" w:after="20"/>
            </w:pPr>
            <w:r>
              <w:t xml:space="preserve">Convertidas a puntos</w:t>
            </w:r>
          </w:p>
        </w:tc>
        <w:tc>
          <w:tcPr>
            <w:tcW w:w="0" w:type="auto"/>
          </w:tcPr>
          <w:p>
            <w:pPr>
              <w:spacing w:before="20" w:after="20"/>
            </w:pPr>
            <w:r>
              <w:t xml:space="preserve">48 h ÷ 2 h/punto</w:t>
            </w:r>
          </w:p>
        </w:tc>
        <w:tc>
          <w:tcPr>
            <w:tcW w:w="0" w:type="auto"/>
          </w:tcPr>
          <w:p>
            <w:pPr>
              <w:spacing w:before="20" w:after="20"/>
            </w:pPr>
            <w:r>
              <w:t xml:space="preserve">24 pts brutos</w:t>
            </w:r>
          </w:p>
        </w:tc>
      </w:tr>
      <w:tr>
        <w:tc>
          <w:tcPr>
            <w:tcW w:w="0" w:type="auto"/>
          </w:tcPr>
          <w:p>
            <w:pPr>
              <w:spacing w:before="20" w:after="20"/>
            </w:pPr>
            <w:r>
              <w:t xml:space="preserve">Aplicando el factor de carga del 80 %</w:t>
            </w:r>
          </w:p>
        </w:tc>
        <w:tc>
          <w:tcPr>
            <w:tcW w:w="0" w:type="auto"/>
          </w:tcPr>
          <w:p>
            <w:pPr>
              <w:spacing w:before="20" w:after="20"/>
            </w:pPr>
            <w:r>
              <w:t xml:space="preserve">24 pts × 0,80</w:t>
            </w:r>
          </w:p>
        </w:tc>
        <w:tc>
          <w:tcPr>
            <w:tcW w:w="0" w:type="auto"/>
          </w:tcPr>
          <w:p>
            <w:pPr>
              <w:spacing w:before="20" w:after="20"/>
            </w:pPr>
            <w:r>
              <w:rPr>
                <w:b/>
              </w:rPr>
              <w:t xml:space="preserve">19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19 pts × 4 personas</w:t>
            </w:r>
          </w:p>
        </w:tc>
        <w:tc>
          <w:tcPr>
            <w:tcW w:w="0" w:type="auto"/>
          </w:tcPr>
          <w:p>
            <w:pPr>
              <w:spacing w:before="20" w:after="20"/>
            </w:pPr>
            <w:r>
              <w:rPr>
                <w:b/>
              </w:rPr>
              <w:t xml:space="preserve">76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192 h</w:t>
            </w:r>
          </w:p>
        </w:tc>
        <w:tc>
          <w:tcPr>
            <w:tcW w:w="0" w:type="auto"/>
          </w:tcPr>
          <w:p>
            <w:pPr>
              <w:spacing w:before="20" w:after="20"/>
            </w:pPr>
            <w:r>
              <w:rPr>
                <w:b/>
              </w:rPr>
              <w:t xml:space="preserve">76 pts</w:t>
            </w:r>
          </w:p>
        </w:tc>
        <w:tc>
          <w:tcPr>
            <w:tcW w:w="0" w:type="auto"/>
          </w:tcPr>
          <w:p>
            <w:pPr>
              <w:spacing w:before="20" w:after="20"/>
            </w:pPr>
            <w:r>
              <w:t/>
            </w:r>
          </w:p>
        </w:tc>
      </w:tr>
    </w:tbl>
    <w:p>
      <w:r>
        <w:t/>
      </w:r>
    </w:p>
    <w:p>
      <w:r>
        <w:t xml:space="preserve">Las 192 horas brutas equivalen a 154 horas efectivas tras el factor de carga; las 38 horas restantes son las que absorben coordinación, revisión e imprevistos.</w:t>
      </w:r>
    </w:p>
    <w:p>
      <w:pPr>
        <w:pStyle w:val="Heading3"/>
      </w:pPr>
      <w:r>
        <w:t xml:space="preserve">7.4 Dónde se gasta la capacidad del Proyecto Final 1</w:t>
      </w:r>
    </w:p>
    <w:p>
      <w:r>
        <w:t xml:space="preserve">Conviene distinguir dos cosas que es fácil confundir: la capacidad del equipo y aquello en lo que se gasta.</w:t>
      </w:r>
    </w:p>
    <w:p>
      <w:r>
        <w:rPr>
          <w:b/>
        </w:rPr>
        <w:t xml:space="preserve">En el Proyecto Final 1 no se construyen las historias de usuario del producto.</w:t>
      </w:r>
      <w:r>
        <w:t xml:space="preserve"> Se construye la arquitectura, se diseñan y ejecutan los experimentos que la validan, y se construye la experiencia de usuario del prototipo. Las historias del backlog se implementan en 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En qué se gasta la capacidad</w:t>
            </w:r>
          </w:p>
        </w:tc>
        <w:tc>
          <w:tcPr>
            <w:tcW w:w="0" w:type="auto"/>
            <w:shd w:val="clear" w:fill="EDF2F7"/>
          </w:tcPr>
          <w:p>
            <w:pPr>
              <w:spacing w:before="20" w:after="20"/>
            </w:pPr>
            <w:r>
              <w:rPr>
                <w:b/>
              </w:rPr>
              <w:t xml:space="preserve">Puntos</w:t>
            </w:r>
          </w:p>
        </w:tc>
      </w:tr>
      <w:tr>
        <w:tc>
          <w:tcPr>
            <w:tcW w:w="0" w:type="auto"/>
          </w:tcPr>
          <w:p>
            <w:pPr>
              <w:spacing w:before="20" w:after="20"/>
            </w:pPr>
            <w:r>
              <w:t xml:space="preserve">1–3</w:t>
            </w:r>
          </w:p>
        </w:tc>
        <w:tc>
          <w:tcPr>
            <w:tcW w:w="0" w:type="auto"/>
          </w:tcPr>
          <w:p>
            <w:pPr>
              <w:spacing w:before="20" w:after="20"/>
            </w:pPr>
            <w:r>
              <w:t xml:space="preserve">Acta de constitución, EDT, visión de arquitectura, escenarios de calidad, estrategia de pruebas, backlog</w:t>
            </w:r>
          </w:p>
        </w:tc>
        <w:tc>
          <w:tcPr>
            <w:tcW w:w="0" w:type="auto"/>
          </w:tcPr>
          <w:p>
            <w:pPr>
              <w:spacing w:before="20" w:after="20"/>
            </w:pPr>
            <w:r>
              <w:t xml:space="preserve">57</w:t>
            </w:r>
          </w:p>
        </w:tc>
      </w:tr>
      <w:tr>
        <w:tc>
          <w:tcPr>
            <w:tcW w:w="0" w:type="auto"/>
          </w:tcPr>
          <w:p>
            <w:pPr>
              <w:spacing w:before="20" w:after="20"/>
            </w:pPr>
            <w:r>
              <w:t xml:space="preserve">4–5</w:t>
            </w:r>
          </w:p>
        </w:tc>
        <w:tc>
          <w:tcPr>
            <w:tcW w:w="0" w:type="auto"/>
          </w:tcPr>
          <w:p>
            <w:pPr>
              <w:spacing w:before="20" w:after="20"/>
            </w:pPr>
            <w:r>
              <w:t xml:space="preserve">Diseño de la arquitectura y de los experimentos</w:t>
            </w:r>
          </w:p>
        </w:tc>
        <w:tc>
          <w:tcPr>
            <w:tcW w:w="0" w:type="auto"/>
          </w:tcPr>
          <w:p>
            <w:pPr>
              <w:spacing w:before="20" w:after="20"/>
            </w:pPr>
            <w:r>
              <w:t xml:space="preserve">38</w:t>
            </w:r>
          </w:p>
        </w:tc>
      </w:tr>
      <w:tr>
        <w:tc>
          <w:tcPr>
            <w:tcW w:w="0" w:type="auto"/>
          </w:tcPr>
          <w:p>
            <w:pPr>
              <w:spacing w:before="20" w:after="20"/>
            </w:pPr>
            <w:r>
              <w:t xml:space="preserve">6–7</w:t>
            </w:r>
          </w:p>
        </w:tc>
        <w:tc>
          <w:tcPr>
            <w:tcW w:w="0" w:type="auto"/>
          </w:tcPr>
          <w:p>
            <w:pPr>
              <w:spacing w:before="20" w:after="20"/>
            </w:pPr>
            <w:r>
              <w:t xml:space="preserve">Construcción y ejecución de los experimentos (34 h) + experiencia de usuario: mockups, wireframes y prototipo (≈40 h)</w:t>
            </w:r>
          </w:p>
        </w:tc>
        <w:tc>
          <w:tcPr>
            <w:tcW w:w="0" w:type="auto"/>
          </w:tcPr>
          <w:p>
            <w:pPr>
              <w:spacing w:before="20" w:after="20"/>
            </w:pPr>
            <w:r>
              <w:t xml:space="preserve">38</w:t>
            </w:r>
          </w:p>
        </w:tc>
      </w:tr>
      <w:tr>
        <w:tc>
          <w:tcPr>
            <w:tcW w:w="0" w:type="auto"/>
          </w:tcPr>
          <w:p>
            <w:pPr>
              <w:spacing w:before="20" w:after="20"/>
            </w:pPr>
            <w:r>
              <w:t xml:space="preserve">8</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19</w:t>
            </w:r>
          </w:p>
        </w:tc>
      </w:tr>
      <w:tr>
        <w:tc>
          <w:tcPr>
            <w:tcW w:w="0" w:type="auto"/>
          </w:tcPr>
          <w:p>
            <w:pPr>
              <w:spacing w:before="20" w:after="20"/>
            </w:pPr>
            <w:r>
              <w:rPr>
                <w:b/>
              </w:rPr>
              <w:t xml:space="preserve">Total Proyecto Final 1</w:t>
            </w:r>
          </w:p>
        </w:tc>
        <w:tc>
          <w:tcPr>
            <w:tcW w:w="0" w:type="auto"/>
          </w:tcPr>
          <w:p>
            <w:pPr>
              <w:spacing w:before="20" w:after="20"/>
            </w:pPr>
            <w:r>
              <w:t/>
            </w:r>
          </w:p>
        </w:tc>
        <w:tc>
          <w:tcPr>
            <w:tcW w:w="0" w:type="auto"/>
          </w:tcPr>
          <w:p>
            <w:pPr>
              <w:spacing w:before="20" w:after="20"/>
            </w:pPr>
            <w:r>
              <w:rPr>
                <w:b/>
              </w:rPr>
              <w:t xml:space="preserve">152</w:t>
            </w:r>
          </w:p>
        </w:tc>
      </w:tr>
    </w:tbl>
    <w:p>
      <w:r>
        <w:t/>
      </w:r>
    </w:p>
    <w:p>
      <w:r>
        <w:t xml:space="preserve">Los 152 puntos son exactamente la capacidad calculada en §7.2 para las ocho semanas. Ninguno de ellos produce historias del backlog de producto terminadas, y eso es lo esperado en esta fase.</w:t>
      </w:r>
    </w:p>
    <w:p>
      <w:pPr>
        <w:pStyle w:val="Heading3"/>
      </w:pPr>
      <w:r>
        <w:t xml:space="preserve">7.5 Capacidad del Proyecto Final 2 y compromiso del backlog</w:t>
      </w:r>
    </w:p>
    <w:p>
      <w:r>
        <w:t xml:space="preserve">El Proyecto Final 2 tiene una estructura fija que no se negocia: </w:t>
      </w:r>
      <w:r>
        <w:rPr>
          <w:b/>
        </w:rPr>
        <w:t xml:space="preserve">tres sprints, de dos, dos y tres semanas</w:t>
      </w:r>
      <w:r>
        <w:t xml:space="preserve">, siete semanas en total. Con la misma velocidad de 19 puntos por semana:</w:t>
      </w:r>
    </w:p>
    <w:p>
      <w:pPr>
        <w:pStyle w:val="Code"/>
      </w:pPr>
      <w:r>
        <w:t xml:space="preserve">19 puntos/semana  ×  7 semanas  =  133 puntos</w:t>
      </w:r>
    </w:p>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Capacidad</w:t>
            </w:r>
          </w:p>
        </w:tc>
      </w:tr>
      <w:tr>
        <w:tc>
          <w:tcPr>
            <w:tcW w:w="0" w:type="auto"/>
          </w:tcPr>
          <w:p>
            <w:pPr>
              <w:spacing w:before="20" w:after="20"/>
            </w:pPr>
            <w:r>
              <w:t xml:space="preserve">Sprint 1</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2</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3</w:t>
            </w:r>
          </w:p>
        </w:tc>
        <w:tc>
          <w:tcPr>
            <w:tcW w:w="0" w:type="auto"/>
          </w:tcPr>
          <w:p>
            <w:pPr>
              <w:spacing w:before="20" w:after="20"/>
            </w:pPr>
            <w:r>
              <w:t xml:space="preserve">3 semanas</w:t>
            </w:r>
          </w:p>
        </w:tc>
        <w:tc>
          <w:tcPr>
            <w:tcW w:w="0" w:type="auto"/>
          </w:tcPr>
          <w:p>
            <w:pPr>
              <w:spacing w:before="20" w:after="20"/>
            </w:pPr>
            <w:r>
              <w:t xml:space="preserve">57 pts</w:t>
            </w:r>
          </w:p>
        </w:tc>
      </w:tr>
      <w:tr>
        <w:tc>
          <w:tcPr>
            <w:tcW w:w="0" w:type="auto"/>
          </w:tcPr>
          <w:p>
            <w:pPr>
              <w:spacing w:before="20" w:after="20"/>
            </w:pPr>
            <w:r>
              <w:rPr>
                <w:b/>
              </w:rPr>
              <w:t xml:space="preserve">Total</w:t>
            </w:r>
          </w:p>
        </w:tc>
        <w:tc>
          <w:tcPr>
            <w:tcW w:w="0" w:type="auto"/>
          </w:tcPr>
          <w:p>
            <w:pPr>
              <w:spacing w:before="20" w:after="20"/>
            </w:pPr>
            <w:r>
              <w:rPr>
                <w:b/>
              </w:rPr>
              <w:t xml:space="preserve">7 semanas</w:t>
            </w:r>
          </w:p>
        </w:tc>
        <w:tc>
          <w:tcPr>
            <w:tcW w:w="0" w:type="auto"/>
          </w:tcPr>
          <w:p>
            <w:pPr>
              <w:spacing w:before="20" w:after="20"/>
            </w:pPr>
            <w:r>
              <w:rPr>
                <w:b/>
              </w:rPr>
              <w:t xml:space="preserve">133 pts</w:t>
            </w:r>
          </w:p>
        </w:tc>
      </w:tr>
    </w:tbl>
    <w:p>
      <w:r>
        <w:t/>
      </w:r>
    </w:p>
    <w:p>
      <w:r>
        <w:rPr>
          <w:b/>
        </w:rPr>
        <w:t xml:space="preserve">El backlog frente a esa capacidad: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w:t>
            </w:r>
          </w:p>
        </w:tc>
        <w:tc>
          <w:tcPr>
            <w:tcW w:w="0" w:type="auto"/>
          </w:tcPr>
          <w:p>
            <w:pPr>
              <w:spacing w:before="20" w:after="20"/>
            </w:pPr>
            <w:r>
              <w:t xml:space="preserve">62</w:t>
            </w:r>
          </w:p>
        </w:tc>
      </w:tr>
      <w:tr>
        <w:tc>
          <w:tcPr>
            <w:tcW w:w="0" w:type="auto"/>
          </w:tcPr>
          <w:p>
            <w:pPr>
              <w:spacing w:before="20" w:after="20"/>
            </w:pPr>
            <w:r>
              <w:t xml:space="preserve">Capacidad del Proyecto Final 2</w:t>
            </w:r>
          </w:p>
        </w:tc>
        <w:tc>
          <w:tcPr>
            <w:tcW w:w="0" w:type="auto"/>
          </w:tcPr>
          <w:p>
            <w:pPr>
              <w:spacing w:before="20" w:after="20"/>
            </w:pPr>
            <w:r>
              <w:t xml:space="preserve">133</w:t>
            </w:r>
          </w:p>
        </w:tc>
        <w:tc>
          <w:tcPr>
            <w:tcW w:w="0" w:type="auto"/>
          </w:tcPr>
          <w:p>
            <w:pPr>
              <w:spacing w:before="20" w:after="20"/>
            </w:pPr>
            <w:r>
              <w:t xml:space="preserve">—</w:t>
            </w:r>
          </w:p>
        </w:tc>
      </w:tr>
      <w:tr>
        <w:tc>
          <w:tcPr>
            <w:tcW w:w="0" w:type="auto"/>
          </w:tcPr>
          <w:p>
            <w:pPr>
              <w:spacing w:before="20" w:after="20"/>
            </w:pPr>
            <w:r>
              <w:rPr>
                <w:b/>
              </w:rPr>
              <w:t xml:space="preserve">Comprometido</w:t>
            </w:r>
          </w:p>
        </w:tc>
        <w:tc>
          <w:tcPr>
            <w:tcW w:w="0" w:type="auto"/>
          </w:tcPr>
          <w:p>
            <w:pPr>
              <w:spacing w:before="20" w:after="20"/>
            </w:pPr>
            <w:r>
              <w:rPr>
                <w:b/>
              </w:rPr>
              <w:t xml:space="preserve">133</w:t>
            </w:r>
          </w:p>
        </w:tc>
        <w:tc>
          <w:tcPr>
            <w:tcW w:w="0" w:type="auto"/>
          </w:tcPr>
          <w:p>
            <w:pPr>
              <w:spacing w:before="20" w:after="20"/>
            </w:pPr>
            <w:r>
              <w:rPr>
                <w:b/>
              </w:rPr>
              <w:t xml:space="preserve">30</w:t>
            </w:r>
          </w:p>
        </w:tc>
      </w:tr>
      <w:tr>
        <w:tc>
          <w:tcPr>
            <w:tcW w:w="0" w:type="auto"/>
          </w:tcPr>
          <w:p>
            <w:pPr>
              <w:spacing w:before="20" w:after="20"/>
            </w:pPr>
            <w:r>
              <w:rPr>
                <w:b/>
              </w:rPr>
              <w:t xml:space="preserve">Diferido a una fase posterior</w:t>
            </w:r>
          </w:p>
        </w:tc>
        <w:tc>
          <w:tcPr>
            <w:tcW w:w="0" w:type="auto"/>
          </w:tcPr>
          <w:p>
            <w:pPr>
              <w:spacing w:before="20" w:after="20"/>
            </w:pPr>
            <w:r>
              <w:rPr>
                <w:b/>
              </w:rPr>
              <w:t xml:space="preserve">96</w:t>
            </w:r>
          </w:p>
        </w:tc>
        <w:tc>
          <w:tcPr>
            <w:tcW w:w="0" w:type="auto"/>
          </w:tcPr>
          <w:p>
            <w:pPr>
              <w:spacing w:before="20" w:after="20"/>
            </w:pPr>
            <w:r>
              <w:rPr>
                <w:b/>
              </w:rPr>
              <w:t xml:space="preserve">32</w:t>
            </w:r>
          </w:p>
        </w:tc>
      </w:tr>
    </w:tbl>
    <w:p>
      <w:r>
        <w:t/>
      </w:r>
    </w:p>
    <w:p>
      <w:r>
        <w:t xml:space="preserve">El backlog completo no cabe: sobran 96 puntos. Forzar los números para que cuadraran habría exigido reducir las estimaciones a poco más de la mitad, produciendo un plan que se incumple en el primer sprint. La respuesta correcta es </w:t>
      </w:r>
      <w:r>
        <w:rPr>
          <w:b/>
        </w:rPr>
        <w:t xml:space="preserve">declarar el alcance</w:t>
      </w:r>
      <w:r>
        <w:t xml:space="preserve">: se comprometen las 30 historias de mayor prioridad, que suman exactamente los 133 puntos disponibles.</w:t>
      </w:r>
    </w:p>
    <w:p>
      <w:r>
        <w:rPr>
          <w:b/>
        </w:rPr>
        <w:t xml:space="preserve">Criterio de priorización, en este orden:</w:t>
      </w:r>
    </w:p>
    <w:p>
      <w:pPr>
        <w:pStyle w:val="ListBullet"/>
        <w:numPr>
          <w:ilvl w:val="0"/>
          <w:numId w:val="2"/>
        </w:numPr>
      </w:pPr>
      <w:r>
        <w:rPr>
          <w:b/>
        </w:rPr>
        <w:t xml:space="preserve">¿Valida un ASR que el sistema debe demostrar?</w:t>
      </w:r>
      <w:r>
        <w:t xml:space="preserve"> Las historias de arquitectura ligadas a los escenarios de calidad entran primero: sin ellas no hay atributos de calidad, solo funcionalidad.</w:t>
      </w:r>
    </w:p>
    <w:p>
      <w:pPr>
        <w:pStyle w:val="ListBullet"/>
        <w:numPr>
          <w:ilvl w:val="0"/>
          <w:numId w:val="2"/>
        </w:numPr>
      </w:pPr>
      <w:r>
        <w:rPr>
          <w:b/>
        </w:rPr>
        <w:t xml:space="preserve">¿Pertenece al recorrido crítico?</w:t>
      </w:r>
      <w:r>
        <w:t xml:space="preserve"> </w:t>
      </w:r>
      <w:r>
        <w:rPr>
          <w:i/>
        </w:rPr>
        <w:t xml:space="preserve">Cotizar → suscribir → emitir</w:t>
      </w:r>
      <w:r>
        <w:t xml:space="preserve"> en web y </w:t>
      </w:r>
      <w:r>
        <w:rPr>
          <w:i/>
        </w:rPr>
        <w:t xml:space="preserve">onboarding → consultar póliza</w:t>
      </w:r>
      <w:r>
        <w:t xml:space="preserve"> en móvil es lo que hace que el producto exista.</w:t>
      </w:r>
    </w:p>
    <w:p>
      <w:pPr>
        <w:pStyle w:val="ListBullet"/>
        <w:numPr>
          <w:ilvl w:val="0"/>
          <w:numId w:val="2"/>
        </w:numPr>
      </w:pPr>
      <w:r>
        <w:rPr>
          <w:b/>
        </w:rPr>
        <w:t xml:space="preserve">¿Es prerrequisito de algo ya comprometido?</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 comprometido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ASR </w:t>
            </w:r>
            <w:r>
              <w:rPr>
                <w:i/>
              </w:rPr>
              <w:t xml:space="preserve">(las once menos HU-ARQ-09, cuyo escenario multi-zona se difiere)</w:t>
            </w:r>
          </w:p>
        </w:tc>
        <w:tc>
          <w:tcPr>
            <w:tcW w:w="0" w:type="auto"/>
          </w:tcPr>
          <w:p>
            <w:pPr>
              <w:spacing w:before="20" w:after="20"/>
            </w:pPr>
            <w:r>
              <w:t xml:space="preserve">10</w:t>
            </w:r>
          </w:p>
        </w:tc>
        <w:tc>
          <w:tcPr>
            <w:tcW w:w="0" w:type="auto"/>
          </w:tcPr>
          <w:p>
            <w:pPr>
              <w:spacing w:before="20" w:after="20"/>
            </w:pPr>
            <w:r>
              <w:t xml:space="preserve">79</w:t>
            </w:r>
          </w:p>
        </w:tc>
      </w:tr>
      <w:tr>
        <w:tc>
          <w:tcPr>
            <w:tcW w:w="0" w:type="auto"/>
          </w:tcPr>
          <w:p>
            <w:pPr>
              <w:spacing w:before="20" w:after="20"/>
            </w:pPr>
            <w:r>
              <w:t xml:space="preserve">Cotización web completa — FE-01</w:t>
            </w:r>
          </w:p>
        </w:tc>
        <w:tc>
          <w:tcPr>
            <w:tcW w:w="0" w:type="auto"/>
          </w:tcPr>
          <w:p>
            <w:pPr>
              <w:spacing w:before="20" w:after="20"/>
            </w:pPr>
            <w:r>
              <w:t xml:space="preserve">6</w:t>
            </w:r>
          </w:p>
        </w:tc>
        <w:tc>
          <w:tcPr>
            <w:tcW w:w="0" w:type="auto"/>
          </w:tcPr>
          <w:p>
            <w:pPr>
              <w:spacing w:before="20" w:after="20"/>
            </w:pPr>
            <w:r>
              <w:t xml:space="preserve">15</w:t>
            </w:r>
          </w:p>
        </w:tc>
      </w:tr>
      <w:tr>
        <w:tc>
          <w:tcPr>
            <w:tcW w:w="0" w:type="auto"/>
          </w:tcPr>
          <w:p>
            <w:pPr>
              <w:spacing w:before="20" w:after="20"/>
            </w:pPr>
            <w:r>
              <w:t xml:space="preserve">Suscripción y emisión web — FE-02, recorrido mínimo</w:t>
            </w:r>
          </w:p>
        </w:tc>
        <w:tc>
          <w:tcPr>
            <w:tcW w:w="0" w:type="auto"/>
          </w:tcPr>
          <w:p>
            <w:pPr>
              <w:spacing w:before="20" w:after="20"/>
            </w:pPr>
            <w:r>
              <w:t xml:space="preserve">4</w:t>
            </w:r>
          </w:p>
        </w:tc>
        <w:tc>
          <w:tcPr>
            <w:tcW w:w="0" w:type="auto"/>
          </w:tcPr>
          <w:p>
            <w:pPr>
              <w:spacing w:before="20" w:after="20"/>
            </w:pPr>
            <w:r>
              <w:t xml:space="preserve">11</w:t>
            </w:r>
          </w:p>
        </w:tc>
      </w:tr>
      <w:tr>
        <w:tc>
          <w:tcPr>
            <w:tcW w:w="0" w:type="auto"/>
          </w:tcPr>
          <w:p>
            <w:pPr>
              <w:spacing w:before="20" w:after="20"/>
            </w:pPr>
            <w:r>
              <w:t xml:space="preserve">Autenticación web completa — FE-10</w:t>
            </w:r>
          </w:p>
        </w:tc>
        <w:tc>
          <w:tcPr>
            <w:tcW w:w="0" w:type="auto"/>
          </w:tcPr>
          <w:p>
            <w:pPr>
              <w:spacing w:before="20" w:after="20"/>
            </w:pPr>
            <w:r>
              <w:t xml:space="preserve">4</w:t>
            </w:r>
          </w:p>
        </w:tc>
        <w:tc>
          <w:tcPr>
            <w:tcW w:w="0" w:type="auto"/>
          </w:tcPr>
          <w:p>
            <w:pPr>
              <w:spacing w:before="20" w:after="20"/>
            </w:pPr>
            <w:r>
              <w:t xml:space="preserve">9</w:t>
            </w:r>
          </w:p>
        </w:tc>
      </w:tr>
      <w:tr>
        <w:tc>
          <w:tcPr>
            <w:tcW w:w="0" w:type="auto"/>
          </w:tcPr>
          <w:p>
            <w:pPr>
              <w:spacing w:before="20" w:after="20"/>
            </w:pPr>
            <w:r>
              <w:t xml:space="preserve">Onboarding móvil — FE-05, recorrido mínimo</w:t>
            </w:r>
          </w:p>
        </w:tc>
        <w:tc>
          <w:tcPr>
            <w:tcW w:w="0" w:type="auto"/>
          </w:tcPr>
          <w:p>
            <w:pPr>
              <w:spacing w:before="20" w:after="20"/>
            </w:pPr>
            <w:r>
              <w:t xml:space="preserve">3</w:t>
            </w:r>
          </w:p>
        </w:tc>
        <w:tc>
          <w:tcPr>
            <w:tcW w:w="0" w:type="auto"/>
          </w:tcPr>
          <w:p>
            <w:pPr>
              <w:spacing w:before="20" w:after="20"/>
            </w:pPr>
            <w:r>
              <w:t xml:space="preserve">11</w:t>
            </w:r>
          </w:p>
        </w:tc>
      </w:tr>
      <w:tr>
        <w:tc>
          <w:tcPr>
            <w:tcW w:w="0" w:type="auto"/>
          </w:tcPr>
          <w:p>
            <w:pPr>
              <w:spacing w:before="20" w:after="20"/>
            </w:pPr>
            <w:r>
              <w:t xml:space="preserve">Billetera móvil — FE-06, incluida la consulta sin conexión</w:t>
            </w:r>
          </w:p>
        </w:tc>
        <w:tc>
          <w:tcPr>
            <w:tcW w:w="0" w:type="auto"/>
          </w:tcPr>
          <w:p>
            <w:pPr>
              <w:spacing w:before="20" w:after="20"/>
            </w:pPr>
            <w:r>
              <w:t xml:space="preserve">3</w:t>
            </w:r>
          </w:p>
        </w:tc>
        <w:tc>
          <w:tcPr>
            <w:tcW w:w="0" w:type="auto"/>
          </w:tcPr>
          <w:p>
            <w:pPr>
              <w:spacing w:before="20" w:after="20"/>
            </w:pPr>
            <w:r>
              <w:t xml:space="preserve">8</w:t>
            </w:r>
          </w:p>
        </w:tc>
      </w:tr>
      <w:tr>
        <w:tc>
          <w:tcPr>
            <w:tcW w:w="0" w:type="auto"/>
          </w:tcPr>
          <w:p>
            <w:pPr>
              <w:spacing w:before="20" w:after="20"/>
            </w:pPr>
            <w:r>
              <w:rPr>
                <w:b/>
              </w:rPr>
              <w:t xml:space="preserve">Total comprometido</w:t>
            </w:r>
          </w:p>
        </w:tc>
        <w:tc>
          <w:tcPr>
            <w:tcW w:w="0" w:type="auto"/>
          </w:tcPr>
          <w:p>
            <w:pPr>
              <w:spacing w:before="20" w:after="20"/>
            </w:pPr>
            <w:r>
              <w:rPr>
                <w:b/>
              </w:rPr>
              <w:t xml:space="preserve">30</w:t>
            </w:r>
          </w:p>
        </w:tc>
        <w:tc>
          <w:tcPr>
            <w:tcW w:w="0" w:type="auto"/>
          </w:tcPr>
          <w:p>
            <w:pPr>
              <w:spacing w:before="20" w:after="20"/>
            </w:pPr>
            <w:r>
              <w:rPr>
                <w:b/>
              </w:rPr>
              <w:t xml:space="preserve">133</w:t>
            </w:r>
          </w:p>
        </w:tc>
      </w:tr>
      <w:tr>
        <w:tc>
          <w:tcPr>
            <w:tcW w:w="0" w:type="auto"/>
          </w:tcPr>
          <w:p>
            <w:pPr>
              <w:spacing w:before="20" w:after="20"/>
            </w:pPr>
            <w:r>
              <w:rPr>
                <w:b/>
              </w:rPr>
              <w:t xml:space="preserve">Capacidad del Proyecto Final 2</w:t>
            </w:r>
          </w:p>
        </w:tc>
        <w:tc>
          <w:tcPr>
            <w:tcW w:w="0" w:type="auto"/>
          </w:tcPr>
          <w:p>
            <w:pPr>
              <w:spacing w:before="20" w:after="20"/>
            </w:pPr>
            <w:r>
              <w:t/>
            </w:r>
          </w:p>
        </w:tc>
        <w:tc>
          <w:tcPr>
            <w:tcW w:w="0" w:type="auto"/>
          </w:tcPr>
          <w:p>
            <w:pPr>
              <w:spacing w:before="20" w:after="20"/>
            </w:pPr>
            <w:r>
              <w:rPr>
                <w:b/>
              </w:rPr>
              <w:t xml:space="preserve">133</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y el equipo asume ese compromiso de forma explícita: </w:t>
      </w:r>
      <w:r>
        <w:rPr>
          <w:b/>
        </w:rPr>
        <w:t xml:space="preserve">ante un imprevisto se saca alcance, no se extienden horas.</w:t>
      </w:r>
      <w:r>
        <w:t xml:space="preserve"> Cualquier historia adicional que entre desplaza a otra.</w:t>
      </w:r>
    </w:p>
    <w:p>
      <w:r>
        <w:t xml:space="preserve">Las 32 historias diferidas —administración de pólizas, gestión completa de siniestros, portal de socios y la mayor parte de la autogestión móvil— quedan documentadas, estimadas y priorizadas en el backlog. Su detalle está en </w:t>
      </w:r>
      <w:r>
        <w:rPr>
          <w:rFonts w:ascii="Consolas" w:hAnsi="Consolas"/>
          <w:sz w:val="18"/>
          <w:color w:val="B03A2E"/>
        </w:rPr>
        <w:t xml:space="preserve">historias_de_usuario_v2.docx</w:t>
      </w:r>
      <w:r>
        <w:t xml:space="preserve">.</w:t>
      </w:r>
    </w:p>
    <w:p>
      <w:pPr>
        <w:pStyle w:val="Heading3"/>
      </w:pPr>
      <w:r>
        <w:t xml:space="preserve">7.6 Distribución por sprint del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Sprint 1</w:t>
            </w:r>
          </w:p>
        </w:tc>
        <w:tc>
          <w:tcPr>
            <w:tcW w:w="0" w:type="auto"/>
          </w:tcPr>
          <w:p>
            <w:pPr>
              <w:spacing w:before="20" w:after="20"/>
            </w:pPr>
            <w:r>
              <w:t xml:space="preserve">2</w:t>
            </w:r>
          </w:p>
        </w:tc>
        <w:tc>
          <w:tcPr>
            <w:tcW w:w="0" w:type="auto"/>
          </w:tcPr>
          <w:p>
            <w:pPr>
              <w:spacing w:before="20" w:after="20"/>
            </w:pPr>
            <w:r>
              <w:t xml:space="preserve">Cimientos de arquitectura: persistencia, caché, bus de eventos y tokenización. Autenticación web</w:t>
            </w:r>
          </w:p>
        </w:tc>
        <w:tc>
          <w:tcPr>
            <w:tcW w:w="0" w:type="auto"/>
          </w:tcPr>
          <w:p>
            <w:pPr>
              <w:spacing w:before="20" w:after="20"/>
            </w:pPr>
            <w:r>
              <w:t xml:space="preserve">8</w:t>
            </w:r>
          </w:p>
        </w:tc>
        <w:tc>
          <w:tcPr>
            <w:tcW w:w="0" w:type="auto"/>
          </w:tcPr>
          <w:p>
            <w:pPr>
              <w:spacing w:before="20" w:after="20"/>
            </w:pPr>
            <w:r>
              <w:t xml:space="preserve">38</w:t>
            </w:r>
          </w:p>
        </w:tc>
      </w:tr>
      <w:tr>
        <w:tc>
          <w:tcPr>
            <w:tcW w:w="0" w:type="auto"/>
          </w:tcPr>
          <w:p>
            <w:pPr>
              <w:spacing w:before="20" w:after="20"/>
            </w:pPr>
            <w:r>
              <w:rPr>
                <w:b/>
              </w:rPr>
              <w:t xml:space="preserve">Sprint 2</w:t>
            </w:r>
          </w:p>
        </w:tc>
        <w:tc>
          <w:tcPr>
            <w:tcW w:w="0" w:type="auto"/>
          </w:tcPr>
          <w:p>
            <w:pPr>
              <w:spacing w:before="20" w:after="20"/>
            </w:pPr>
            <w:r>
              <w:t xml:space="preserve">2</w:t>
            </w:r>
          </w:p>
        </w:tc>
        <w:tc>
          <w:tcPr>
            <w:tcW w:w="0" w:type="auto"/>
          </w:tcPr>
          <w:p>
            <w:pPr>
              <w:spacing w:before="20" w:after="20"/>
            </w:pPr>
            <w:r>
              <w:t xml:space="preserve">Recorrido de cotización completo con Open Finance. Latencia y degradación elegante</w:t>
            </w:r>
          </w:p>
        </w:tc>
        <w:tc>
          <w:tcPr>
            <w:tcW w:w="0" w:type="auto"/>
          </w:tcPr>
          <w:p>
            <w:pPr>
              <w:spacing w:before="20" w:after="20"/>
            </w:pPr>
            <w:r>
              <w:t xml:space="preserve">10</w:t>
            </w:r>
          </w:p>
        </w:tc>
        <w:tc>
          <w:tcPr>
            <w:tcW w:w="0" w:type="auto"/>
          </w:tcPr>
          <w:p>
            <w:pPr>
              <w:spacing w:before="20" w:after="20"/>
            </w:pPr>
            <w:r>
              <w:t xml:space="preserve">38</w:t>
            </w:r>
          </w:p>
        </w:tc>
      </w:tr>
      <w:tr>
        <w:tc>
          <w:tcPr>
            <w:tcW w:w="0" w:type="auto"/>
          </w:tcPr>
          <w:p>
            <w:pPr>
              <w:spacing w:before="20" w:after="20"/>
            </w:pPr>
            <w:r>
              <w:rPr>
                <w:b/>
              </w:rPr>
              <w:t xml:space="preserve">Sprint 3</w:t>
            </w:r>
          </w:p>
        </w:tc>
        <w:tc>
          <w:tcPr>
            <w:tcW w:w="0" w:type="auto"/>
          </w:tcPr>
          <w:p>
            <w:pPr>
              <w:spacing w:before="20" w:after="20"/>
            </w:pPr>
            <w:r>
              <w:t xml:space="preserve">3</w:t>
            </w:r>
          </w:p>
        </w:tc>
        <w:tc>
          <w:tcPr>
            <w:tcW w:w="0" w:type="auto"/>
          </w:tcPr>
          <w:p>
            <w:pPr>
              <w:spacing w:before="20" w:after="20"/>
            </w:pPr>
            <w:r>
              <w:t xml:space="preserve">Suscripción, emisión y pagos. Onboarding móvil y billetera. Tolerancia a fallos e integridad</w:t>
            </w:r>
          </w:p>
        </w:tc>
        <w:tc>
          <w:tcPr>
            <w:tcW w:w="0" w:type="auto"/>
          </w:tcPr>
          <w:p>
            <w:pPr>
              <w:spacing w:before="20" w:after="20"/>
            </w:pPr>
            <w:r>
              <w:t xml:space="preserve">12</w:t>
            </w:r>
          </w:p>
        </w:tc>
        <w:tc>
          <w:tcPr>
            <w:tcW w:w="0" w:type="auto"/>
          </w:tcPr>
          <w:p>
            <w:pPr>
              <w:spacing w:before="20" w:after="20"/>
            </w:pPr>
            <w:r>
              <w:t xml:space="preserve">57</w:t>
            </w:r>
          </w:p>
        </w:tc>
      </w:tr>
      <w:tr>
        <w:tc>
          <w:tcPr>
            <w:tcW w:w="0" w:type="auto"/>
          </w:tcPr>
          <w:p>
            <w:pPr>
              <w:spacing w:before="20" w:after="20"/>
            </w:pPr>
            <w:r>
              <w:rPr>
                <w:b/>
              </w:rPr>
              <w:t xml:space="preserve">Total</w:t>
            </w:r>
          </w:p>
        </w:tc>
        <w:tc>
          <w:tcPr>
            <w:tcW w:w="0" w:type="auto"/>
          </w:tcPr>
          <w:p>
            <w:pPr>
              <w:spacing w:before="20" w:after="20"/>
            </w:pPr>
            <w:r>
              <w:rPr>
                <w:b/>
              </w:rPr>
              <w:t xml:space="preserve">7</w:t>
            </w:r>
          </w:p>
        </w:tc>
        <w:tc>
          <w:tcPr>
            <w:tcW w:w="0" w:type="auto"/>
          </w:tcPr>
          <w:p>
            <w:pPr>
              <w:spacing w:before="20" w:after="20"/>
            </w:pPr>
            <w:r>
              <w:t/>
            </w:r>
          </w:p>
        </w:tc>
        <w:tc>
          <w:tcPr>
            <w:tcW w:w="0" w:type="auto"/>
          </w:tcPr>
          <w:p>
            <w:pPr>
              <w:spacing w:before="20" w:after="20"/>
            </w:pPr>
            <w:r>
              <w:rPr>
                <w:b/>
              </w:rPr>
              <w:t xml:space="preserve">30</w:t>
            </w:r>
          </w:p>
        </w:tc>
        <w:tc>
          <w:tcPr>
            <w:tcW w:w="0" w:type="auto"/>
          </w:tcPr>
          <w:p>
            <w:pPr>
              <w:spacing w:before="20" w:after="20"/>
            </w:pPr>
            <w:r>
              <w:rPr>
                <w:b/>
              </w:rPr>
              <w:t xml:space="preserve">133</w:t>
            </w:r>
          </w:p>
        </w:tc>
      </w:tr>
    </w:tbl>
    <w:p>
      <w:r>
        <w:t/>
      </w:r>
    </w:p>
    <w:p>
      <w:r>
        <w:t xml:space="preserve">El Sprint 1 concentra historias de arquitectura porque son prerrequisito de todo lo demás: sin persistencia, caché y bus no hay dónde apoyar los recorridos funcionales. El Sprint 3 es más largo y absorbe más puntos, lo que da margen para el ajuste que casi siempre exige el cierre.</w:t>
      </w:r>
    </w:p>
    <w:p>
      <w:pPr>
        <w:pStyle w:val="Heading3"/>
      </w:pPr>
      <w:r>
        <w:t xml:space="preserve">7.7 Viabilidad: ¿es construible esta arquitectura?</w:t>
      </w:r>
    </w:p>
    <w:p>
      <w:r>
        <w:t xml:space="preserve">La arquitectura del Proyecto Final 1 no es un documento que se archiva: es el compromiso que el equipo debe cumplir en el Proyecto Final 2, y los tutores validarán que el código se conforme a ella. Por eso el equipo verificó explícitamente que lo propuesto sea construible en siete semanas por cuatro personas a doce horas semanales.</w:t>
      </w:r>
    </w:p>
    <w:p>
      <w:r>
        <w:rPr>
          <w:b/>
        </w:rPr>
        <w:t xml:space="preserve">Lo que efectivamente se construye: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 de la arquitectura</w:t>
            </w:r>
          </w:p>
        </w:tc>
        <w:tc>
          <w:tcPr>
            <w:tcW w:w="0" w:type="auto"/>
            <w:shd w:val="clear" w:fill="EDF2F7"/>
          </w:tcPr>
          <w:p>
            <w:pPr>
              <w:spacing w:before="20" w:after="20"/>
            </w:pPr>
            <w:r>
              <w:rPr>
                <w:b/>
              </w:rPr>
              <w:t xml:space="preserve">Se construye en Proyecto Final 2</w:t>
            </w:r>
          </w:p>
        </w:tc>
        <w:tc>
          <w:tcPr>
            <w:tcW w:w="0" w:type="auto"/>
            <w:shd w:val="clear" w:fill="EDF2F7"/>
          </w:tcPr>
          <w:p>
            <w:pPr>
              <w:spacing w:before="20" w:after="20"/>
            </w:pPr>
            <w:r>
              <w:rPr>
                <w:b/>
              </w:rPr>
              <w:t xml:space="preserve">Justificación</w:t>
            </w:r>
          </w:p>
        </w:tc>
      </w:tr>
      <w:tr>
        <w:tc>
          <w:tcPr>
            <w:tcW w:w="0" w:type="auto"/>
          </w:tcPr>
          <w:p>
            <w:pPr>
              <w:spacing w:before="20" w:after="20"/>
            </w:pPr>
            <w:r>
              <w:t xml:space="preserve">Servicios del núcleo</w:t>
            </w:r>
          </w:p>
        </w:tc>
        <w:tc>
          <w:tcPr>
            <w:tcW w:w="0" w:type="auto"/>
          </w:tcPr>
          <w:p>
            <w:pPr>
              <w:spacing w:before="20" w:after="20"/>
            </w:pPr>
            <w:r>
              <w:rPr>
                <w:b/>
              </w:rPr>
              <w:t xml:space="preserve">5 de 7</w:t>
            </w:r>
          </w:p>
        </w:tc>
        <w:tc>
          <w:tcPr>
            <w:tcW w:w="0" w:type="auto"/>
          </w:tcPr>
          <w:p>
            <w:pPr>
              <w:spacing w:before="20" w:after="20"/>
            </w:pPr>
            <w:r>
              <w:t xml:space="preserve">Cotización &amp; Rating, Perfilamiento, Suscripción &amp; Emisión, Pólizas y Tokenización. Siniestros y Consentimientos quedan como interfaz mínima, porque sus recorridos completos están diferidos</w:t>
            </w:r>
          </w:p>
        </w:tc>
      </w:tr>
      <w:tr>
        <w:tc>
          <w:tcPr>
            <w:tcW w:w="0" w:type="auto"/>
          </w:tcPr>
          <w:p>
            <w:pPr>
              <w:spacing w:before="20" w:after="20"/>
            </w:pPr>
            <w:r>
              <w:t xml:space="preserve">Capa BFF</w:t>
            </w:r>
          </w:p>
        </w:tc>
        <w:tc>
          <w:tcPr>
            <w:tcW w:w="0" w:type="auto"/>
          </w:tcPr>
          <w:p>
            <w:pPr>
              <w:spacing w:before="20" w:after="20"/>
            </w:pPr>
            <w:r>
              <w:rPr>
                <w:b/>
              </w:rPr>
              <w:t xml:space="preserve">2 de 2</w:t>
            </w:r>
          </w:p>
        </w:tc>
        <w:tc>
          <w:tcPr>
            <w:tcW w:w="0" w:type="auto"/>
          </w:tcPr>
          <w:p>
            <w:pPr>
              <w:spacing w:before="20" w:after="20"/>
            </w:pPr>
            <w:r>
              <w:t xml:space="preserve">El BFF Móvil es indispensable para el ASR-3.3; el BFF Web para el recorrido de cotización</w:t>
            </w:r>
          </w:p>
        </w:tc>
      </w:tr>
      <w:tr>
        <w:tc>
          <w:tcPr>
            <w:tcW w:w="0" w:type="auto"/>
          </w:tcPr>
          <w:p>
            <w:pPr>
              <w:spacing w:before="20" w:after="20"/>
            </w:pPr>
            <w:r>
              <w:t xml:space="preserve">Adaptadores externos</w:t>
            </w:r>
          </w:p>
        </w:tc>
        <w:tc>
          <w:tcPr>
            <w:tcW w:w="0" w:type="auto"/>
          </w:tcPr>
          <w:p>
            <w:pPr>
              <w:spacing w:before="20" w:after="20"/>
            </w:pPr>
            <w:r>
              <w:rPr>
                <w:b/>
              </w:rPr>
              <w:t xml:space="preserve">3 de 5</w:t>
            </w:r>
          </w:p>
        </w:tc>
        <w:tc>
          <w:tcPr>
            <w:tcW w:w="0" w:type="auto"/>
          </w:tcPr>
          <w:p>
            <w:pPr>
              <w:spacing w:before="20" w:after="20"/>
            </w:pPr>
            <w:r>
              <w:t xml:space="preserve">Open Finance, pasarela de pagos y KYC. Open Data y firma electrónica se simulan, porque su integración real no aporta información arquitectural nueva</w:t>
            </w:r>
          </w:p>
        </w:tc>
      </w:tr>
      <w:tr>
        <w:tc>
          <w:tcPr>
            <w:tcW w:w="0" w:type="auto"/>
          </w:tcPr>
          <w:p>
            <w:pPr>
              <w:spacing w:before="20" w:after="20"/>
            </w:pPr>
            <w:r>
              <w:t xml:space="preserve">Plataforma de datos</w:t>
            </w:r>
          </w:p>
        </w:tc>
        <w:tc>
          <w:tcPr>
            <w:tcW w:w="0" w:type="auto"/>
          </w:tcPr>
          <w:p>
            <w:pPr>
              <w:spacing w:before="20" w:after="20"/>
            </w:pPr>
            <w:r>
              <w:rPr>
                <w:b/>
              </w:rPr>
              <w:t xml:space="preserve">Completa</w:t>
            </w:r>
          </w:p>
        </w:tc>
        <w:tc>
          <w:tcPr>
            <w:tcW w:w="0" w:type="auto"/>
          </w:tcPr>
          <w:p>
            <w:pPr>
              <w:spacing w:before="20" w:after="20"/>
            </w:pPr>
            <w:r>
              <w:t xml:space="preserve">PostgreSQL, Redis y Kafka son prerrequisito de tres ASR</w:t>
            </w:r>
          </w:p>
        </w:tc>
      </w:tr>
      <w:tr>
        <w:tc>
          <w:tcPr>
            <w:tcW w:w="0" w:type="auto"/>
          </w:tcPr>
          <w:p>
            <w:pPr>
              <w:spacing w:before="20" w:after="20"/>
            </w:pPr>
            <w:r>
              <w:t xml:space="preserve">Despliegue multi-zona</w:t>
            </w:r>
          </w:p>
        </w:tc>
        <w:tc>
          <w:tcPr>
            <w:tcW w:w="0" w:type="auto"/>
          </w:tcPr>
          <w:p>
            <w:pPr>
              <w:spacing w:before="20" w:after="20"/>
            </w:pPr>
            <w:r>
              <w:rPr>
                <w:b/>
              </w:rPr>
              <w:t xml:space="preserve">No</w:t>
            </w:r>
          </w:p>
        </w:tc>
        <w:tc>
          <w:tcPr>
            <w:tcW w:w="0" w:type="auto"/>
          </w:tcPr>
          <w:p>
            <w:pPr>
              <w:spacing w:before="20" w:after="20"/>
            </w:pPr>
            <w:r>
              <w:t xml:space="preserve">Se despliega en una sola zona. El ASR-3.2 se difiere: su validación exige infraestructura con costo que el curso no cubre</w:t>
            </w:r>
          </w:p>
        </w:tc>
      </w:tr>
    </w:tbl>
    <w:p>
      <w:r>
        <w:t/>
      </w:r>
    </w:p>
    <w:p>
      <w:r>
        <w:rPr>
          <w:b/>
        </w:rPr>
        <w:t xml:space="preserve">Por qué el estilo elegido no infla el costo de construcción.</w:t>
      </w:r>
      <w:r>
        <w:t xml:space="preserve"> La preocupación razonable con microservicios es que cinco servicios cuesten cinco veces más que uno. En este caso no ocurre, por tres razones: los cinco comparten un mismo esqueleto de proyecto y las mismas bibliotecas de acceso a datos y de cliente HTTP; se ejecutan con un único archivo de composición de contenedores, de modo que levantar el sistema completo es un comando; y la frontera entre ellos coincide con la frontera de responsabilidad entre integrantes, lo que reduce el costo de coordinación en lugar de aumentarlo.</w:t>
      </w:r>
    </w:p>
    <w:p>
      <w:r>
        <w:rPr>
          <w:b/>
        </w:rPr>
        <w:t xml:space="preserve">Riesgo declarado.</w:t>
      </w:r>
      <w:r>
        <w:t xml:space="preserve"> El elemento de mayor riesgo de cronograma no es la arquitectura sino el cliente móvil nativo, seguido de las pruebas. Son las dos actividades que el curso identifica como principales causas de retraso. Por eso el onboarding móvil y la billetera entran en el Sprint 3, con las tres semanas de mayor holgura, y por eso la estrategia de pruebas se revisa en cada entrega en lugar de darse por cerrada.</w:t>
      </w:r>
    </w:p>
    <w:p>
      <w:pPr>
        <w:pStyle w:val="Heading3"/>
      </w:pPr>
      <w:r>
        <w:t xml:space="preserve">7.8 Plan del Proyecto Final 1</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rPr>
                <w:b/>
              </w:rPr>
              <w:t xml:space="preserve">Arquitectura detallada y diseño de experimentos — versión de avance</w:t>
            </w:r>
          </w:p>
        </w:tc>
        <w:tc>
          <w:tcPr>
            <w:tcW w:w="0" w:type="auto"/>
          </w:tcPr>
          <w:p>
            <w:pPr>
              <w:spacing w:before="20" w:after="20"/>
            </w:pPr>
            <w:r>
              <w:rPr>
                <w:b/>
              </w:rPr>
              <w:t xml:space="preserve">Esta entrega</w:t>
            </w:r>
          </w:p>
        </w:tc>
      </w:tr>
      <w:tr>
        <w:tc>
          <w:tcPr>
            <w:tcW w:w="0" w:type="auto"/>
          </w:tcPr>
          <w:p>
            <w:pPr>
              <w:spacing w:before="20" w:after="20"/>
            </w:pPr>
            <w:r>
              <w:t xml:space="preserve">5 (31 ago–6 sep)</w:t>
            </w:r>
          </w:p>
        </w:tc>
        <w:tc>
          <w:tcPr>
            <w:tcW w:w="0" w:type="auto"/>
          </w:tcPr>
          <w:p>
            <w:pPr>
              <w:spacing w:before="20" w:after="20"/>
            </w:pPr>
            <w:r>
              <w:t xml:space="preserve">Cierre de la arquitectura y versión final del diseño de experimentos · wireframes</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Construcción y ejecución de EXP-01 y EXP-02 · mockups del recorrido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Ejecución de EXP-02 y EXP-03 · prototipo móvil</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Planificada</w:t>
            </w:r>
          </w:p>
        </w:tc>
      </w:tr>
    </w:tbl>
    <w:p>
      <w:r>
        <w:t/>
      </w:r>
    </w:p>
    <w:p>
      <w:pPr>
        <w:pStyle w:val="Quote"/>
      </w:pPr>
      <w:r>
        <w:rPr>
          <w:b/>
        </w:rPr>
        <w:t xml:space="preserve">Esta entrega es un avance, no la versión final.</w:t>
      </w:r>
      <w:r>
        <w:t xml:space="preserve"> El bloque de arquitectura y experimentos abarca las semanas 4 y 5, y se cierra en la semana 5. Lo que la semana 5 puede modificar: el ajuste de los modelos si el diseño detallado revela una carencia, la versión final de las tres fichas de experimento, y la incorporación de los wireframes.</w:t>
      </w:r>
    </w:p>
    <w:p>
      <w:pPr>
        <w:pStyle w:val="Heading3"/>
      </w:pPr>
      <w:r>
        <w:t xml:space="preserve">7.9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7.10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3"/>
      </w:pPr>
      <w:r>
        <w:t xml:space="preserve">7.11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EXP-03</w:t>
            </w:r>
          </w:p>
        </w:tc>
        <w:tc>
          <w:tcPr>
            <w:tcW w:w="0" w:type="auto"/>
          </w:tcPr>
          <w:p>
            <w:pPr>
              <w:spacing w:before="20" w:after="20"/>
            </w:pPr>
            <w:r>
              <w:t xml:space="preserve">Historia de arquitectura que lleva ese experimento</w:t>
            </w:r>
          </w:p>
        </w:tc>
      </w:tr>
    </w:tbl>
    <w:p>
      <w:r>
        <w:t/>
      </w:r>
    </w:p>
    <w:p>
      <w:r>
        <w:t xml:space="preserve">Para ver únicamente el alcance comprometido de este proyecto, filtrar por </w:t>
      </w:r>
      <w:r>
        <w:rPr>
          <w:rFonts w:ascii="Consolas" w:hAnsi="Consolas"/>
          <w:sz w:val="18"/>
          <w:color w:val="B03A2E"/>
        </w:rPr>
        <w:t xml:space="preserve">proyecto-1</w:t>
      </w:r>
      <w:r>
        <w:t xml:space="preserve">: devuelve 17 historias y 76 puntos, que es exactamente el compromiso por sprint de §7.7.</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Correcciones de la semana 3, modelos de arquitectura, patrones de diseño, propuesta de experimentos y recorrido por el tablero</w:t>
            </w:r>
          </w:p>
        </w:tc>
        <w:tc>
          <w:tcPr>
            <w:tcW w:w="0" w:type="auto"/>
          </w:tcPr>
          <w:p>
            <w:pPr>
              <w:spacing w:before="20" w:after="20"/>
            </w:pPr>
            <w:r>
              <w:t xml:space="preserve">8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del video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 Córdoba</w:t>
            </w:r>
          </w:p>
        </w:tc>
        <w:tc>
          <w:tcPr>
            <w:tcW w:w="0" w:type="auto"/>
          </w:tcPr>
          <w:p>
            <w:pPr>
              <w:spacing w:before="20" w:after="20"/>
            </w:pPr>
            <w:r>
              <w:t xml:space="preserve">0:00 – 0:45</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 Córdoba</w:t>
            </w:r>
          </w:p>
        </w:tc>
        <w:tc>
          <w:tcPr>
            <w:tcW w:w="0" w:type="auto"/>
          </w:tcPr>
          <w:p>
            <w:pPr>
              <w:spacing w:before="20" w:after="20"/>
            </w:pPr>
            <w:r>
              <w:t xml:space="preserve">0:45 – 2:15</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 Gómez</w:t>
            </w:r>
          </w:p>
        </w:tc>
        <w:tc>
          <w:tcPr>
            <w:tcW w:w="0" w:type="auto"/>
          </w:tcPr>
          <w:p>
            <w:pPr>
              <w:spacing w:before="20" w:after="20"/>
            </w:pPr>
            <w:r>
              <w:t xml:space="preserve">2:15 – 4:00</w:t>
            </w:r>
          </w:p>
        </w:tc>
        <w:tc>
          <w:tcPr>
            <w:tcW w:w="0" w:type="auto"/>
          </w:tcPr>
          <w:p>
            <w:pPr>
              <w:spacing w:before="20" w:after="20"/>
            </w:pPr>
            <w:r>
              <w:t xml:space="preserve">Los tres modelos de arquitectura</w:t>
            </w:r>
          </w:p>
        </w:tc>
      </w:tr>
      <w:tr>
        <w:tc>
          <w:tcPr>
            <w:tcW w:w="0" w:type="auto"/>
          </w:tcPr>
          <w:p>
            <w:pPr>
              <w:spacing w:before="20" w:after="20"/>
            </w:pPr>
            <w:r>
              <w:t xml:space="preserve">3</w:t>
            </w:r>
          </w:p>
        </w:tc>
        <w:tc>
          <w:tcPr>
            <w:tcW w:w="0" w:type="auto"/>
          </w:tcPr>
          <w:p>
            <w:pPr>
              <w:spacing w:before="20" w:after="20"/>
            </w:pPr>
            <w:r>
              <w:t xml:space="preserve">Juan Mejía</w:t>
            </w:r>
          </w:p>
        </w:tc>
        <w:tc>
          <w:tcPr>
            <w:tcW w:w="0" w:type="auto"/>
          </w:tcPr>
          <w:p>
            <w:pPr>
              <w:spacing w:before="20" w:after="20"/>
            </w:pPr>
            <w:r>
              <w:t xml:space="preserve">4:00 – 5:45</w:t>
            </w:r>
          </w:p>
        </w:tc>
        <w:tc>
          <w:tcPr>
            <w:tcW w:w="0" w:type="auto"/>
          </w:tcPr>
          <w:p>
            <w:pPr>
              <w:spacing w:before="20" w:after="20"/>
            </w:pPr>
            <w:r>
              <w:t xml:space="preserve">Patrones de diseño y su razonamiento frente a los ASR</w:t>
            </w:r>
          </w:p>
        </w:tc>
      </w:tr>
      <w:tr>
        <w:tc>
          <w:tcPr>
            <w:tcW w:w="0" w:type="auto"/>
          </w:tcPr>
          <w:p>
            <w:pPr>
              <w:spacing w:before="20" w:after="20"/>
            </w:pPr>
            <w:r>
              <w:t xml:space="preserve">4</w:t>
            </w:r>
          </w:p>
        </w:tc>
        <w:tc>
          <w:tcPr>
            <w:tcW w:w="0" w:type="auto"/>
          </w:tcPr>
          <w:p>
            <w:pPr>
              <w:spacing w:before="20" w:after="20"/>
            </w:pPr>
            <w:r>
              <w:t xml:space="preserve">Angie Arandio</w:t>
            </w:r>
          </w:p>
        </w:tc>
        <w:tc>
          <w:tcPr>
            <w:tcW w:w="0" w:type="auto"/>
          </w:tcPr>
          <w:p>
            <w:pPr>
              <w:spacing w:before="20" w:after="20"/>
            </w:pPr>
            <w:r>
              <w:t xml:space="preserve">5:45 – 7:15</w:t>
            </w:r>
          </w:p>
        </w:tc>
        <w:tc>
          <w:tcPr>
            <w:tcW w:w="0" w:type="auto"/>
          </w:tcPr>
          <w:p>
            <w:pPr>
              <w:spacing w:before="20" w:after="20"/>
            </w:pPr>
            <w:r>
              <w:t xml:space="preserve">Propuesta de experimentos y criterio de selección por incertidumbre</w:t>
            </w:r>
          </w:p>
        </w:tc>
      </w:tr>
      <w:tr>
        <w:tc>
          <w:tcPr>
            <w:tcW w:w="0" w:type="auto"/>
          </w:tcPr>
          <w:p>
            <w:pPr>
              <w:spacing w:before="20" w:after="20"/>
            </w:pPr>
            <w:r>
              <w:t xml:space="preserve">5</w:t>
            </w:r>
          </w:p>
        </w:tc>
        <w:tc>
          <w:tcPr>
            <w:tcW w:w="0" w:type="auto"/>
          </w:tcPr>
          <w:p>
            <w:pPr>
              <w:spacing w:before="20" w:after="20"/>
            </w:pPr>
            <w:r>
              <w:t xml:space="preserve">Jazmin Córdoba</w:t>
            </w:r>
          </w:p>
        </w:tc>
        <w:tc>
          <w:tcPr>
            <w:tcW w:w="0" w:type="auto"/>
          </w:tcPr>
          <w:p>
            <w:pPr>
              <w:spacing w:before="20" w:after="20"/>
            </w:pPr>
            <w:r>
              <w:t xml:space="preserve">7:15 – 8:00</w:t>
            </w:r>
          </w:p>
        </w:tc>
        <w:tc>
          <w:tcPr>
            <w:tcW w:w="0" w:type="auto"/>
          </w:tcPr>
          <w:p>
            <w:pPr>
              <w:spacing w:before="20" w:after="20"/>
            </w:pPr>
            <w:r>
              <w:t xml:space="preserve">Tablero actualizado y compromiso por sprint</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Los tiempos son orientativos.</w:t>
      </w:r>
    </w:p>
    <w:p>
      <w:pPr>
        <w:pStyle w:val="Heading3"/>
      </w:pPr>
      <w:r>
        <w:t xml:space="preserve">Bloque 0 — Apertura · Jazmin · 0:00 – 0:45</w:t>
      </w:r>
    </w:p>
    <w:p>
      <w:r>
        <w:t xml:space="preserve">[Pantalla: portada de la hoja de trabajo de la semana 4]</w:t>
      </w:r>
    </w:p>
    <w:p>
      <w:r>
        <w:t xml:space="preserve">Buenas tardes. Somos el Grupo 2 y este es el avance de la semana 4 del proyecto Solventa, nuestra aseguradora digital construida sobre Finanzas Abiertas.</w:t>
      </w:r>
    </w:p>
    <w:p>
      <w:r>
        <w:t xml:space="preserve">Esta semana tenemos dos cosas para mostrar. La primera es la corrección de la entrega de la semana 3: recibimos una retroalimentación clara sobre el documento de historias de usuario y la trabajamos a fondo. La segunda es el entregable propio de esta semana: los modelos de arquitectura, el diseño detallado con patrones y la propuesta de experimentos.</w:t>
      </w:r>
    </w:p>
    <w:p>
      <w:r>
        <w:t xml:space="preserve">Empezamos por la corrección, porque cambia la base sobre la que está construido todo lo demás.</w:t>
      </w:r>
    </w:p>
    <w:p>
      <w:pPr>
        <w:pBdr>
          <w:bottom w:val="single" w:sz="6" w:space="1" w:color="D0D0D0"/>
        </w:pBdr>
      </w:pPr>
    </w:p>
    <w:p>
      <w:pPr>
        <w:pStyle w:val="Heading3"/>
      </w:pPr>
      <w:r>
        <w:t xml:space="preserve">Bloque 1 — Corrección de la semana 3 · Jazmin · 0:45 – 2:15</w:t>
      </w:r>
    </w:p>
    <w:p>
      <w:r>
        <w:t xml:space="preserve">[Pantalla: documento de historias de usuario v2.0, sección 1 «Correcciones aplicadas»]</w:t>
      </w:r>
    </w:p>
    <w:p>
      <w:r>
        <w:t xml:space="preserve">La retroalimentación nos señaló tres cosas y las tomamos todas.</w:t>
      </w:r>
    </w:p>
    <w:p>
      <w:r>
        <w:t xml:space="preserve">La primera: se esperaba la lista completa de historias del proyecto y nosotros entregamos veinte. Al revisarlo entendimos que el problema de fondo no era el número sino la granularidad. Teníamos ciento cincuenta y dos puntos de historia repartidos en veinte historias, es decir un promedio de siete coma seis puntos por historia. Un promedio así significa que lo que llamábamos historias eran en realidad features.</w:t>
      </w:r>
    </w:p>
    <w:p>
      <w:r>
        <w:t xml:space="preserve">[Pantalla: anexo de mapeo, mostrando SOL-3 descompuesta en seis historias]</w:t>
      </w:r>
    </w:p>
    <w:p>
      <w:r>
        <w:t xml:space="preserve">Por ejemplo, «Cotización de seguros en tiempo real» parecía una historia, pero adentro tenía el consentimiento de Open Finance, la captura de datos, el cálculo de la prima, la comparación de planes y la recuperación de la cotización. Son seis historias distintas, cada una verificable por separado.</w:t>
      </w:r>
    </w:p>
    <w:p>
      <w:r>
        <w:t xml:space="preserve">Descompusimos todo el backlog y pasamos de veinte a sesenta y dos historias. El promedio bajó de siete coma seis a tres coma siete puntos por historia, y ninguna historia funcional supera cinco puntos. En el ejercicio encontramos además algo que no teníamos: la autenticación web era un recorrido crítico sin una sola historia asociada. Ahora es una épica propia.</w:t>
      </w:r>
    </w:p>
    <w:p>
      <w:r>
        <w:t xml:space="preserve">[Pantalla: sección 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Ahora el cálculo está completo dentro del entregable, paso a paso: cuatro personas por doce horas son cuarenta y ocho horas semanales; a dos horas por punto son veinticuatro puntos; aplicando un factor de carga del ochenta por ciento quedan diecinueve puntos por semana.</w:t>
      </w:r>
    </w:p>
    <w:p>
      <w:r>
        <w:t xml:space="preserve">[Pantalla: tabla de capacidad frente al backlog]</w:t>
      </w:r>
    </w:p>
    <w:p>
      <w:r>
        <w:t xml:space="preserve">Y la tercera observación, la advertencia sobre el proyecto final dos, la respondimos de frente. Al re-estimar de abajo hacia arriba el backlog subió a doscientos veintinueve puntos. Nuestra capacidad para las semanas cinco a ocho es de setenta y seis. No forzamos las cifras para que cuadraran: declaramos explícitamente qué entra en el Proyecto Final 1 y qué se difiere al 2.</w:t>
      </w:r>
    </w:p>
    <w:p>
      <w:pPr>
        <w:pBdr>
          <w:bottom w:val="single" w:sz="6" w:space="1" w:color="D0D0D0"/>
        </w:pBdr>
      </w:pPr>
    </w:p>
    <w:p>
      <w:pPr>
        <w:pStyle w:val="Heading3"/>
      </w:pPr>
      <w:r>
        <w:t xml:space="preserve">Bloque 2 — Modelos de arquitectura · Miguel · 2:15 – 4:00</w:t>
      </w:r>
    </w:p>
    <w:p>
      <w:r>
        <w:t xml:space="preserve">[Pantalla: Figura 1, vista funcional]</w:t>
      </w:r>
    </w:p>
    <w:p>
      <w:r>
        <w:t xml:space="preserve">Paso al entregable de esta semana. Definimos tres vistas de la arquitectura.</w:t>
      </w:r>
    </w:p>
    <w:p>
      <w:r>
        <w:t xml:space="preserve">Esta es la vista funcional. Son cuatro capas más una plataforma de datos. Arriba los canales: web en Angular, móvil en Kotlin nativo y los sistemas de socios. Después la capa Edge, donde ocurre todo lo que debe pasar antes de tocar lógica de negocio. Luego un backend por canal, y en el centro el núcleo de negocio con siete servicios delimitados por contexto de dominio.</w:t>
      </w:r>
    </w:p>
    <w:p>
      <w:r>
        <w:t xml:space="preserve">Lo importante de este diagrama está abajo a la izquierda: los adaptadores externos. Ningún servicio del núcleo conoce el formato de un proveedor. Todo pasa por un adaptador. Esa decisión es la que sostiene el escenario de modificabilidad.</w:t>
      </w:r>
    </w:p>
    <w:p>
      <w:r>
        <w:t xml:space="preserve">[Pantalla: Figura 2, vista de despliegue]</w:t>
      </w:r>
    </w:p>
    <w:p>
      <w:r>
        <w:t xml:space="preserve">Esta es la vista de despliegue. Dos zonas de disponibilidad en configuración activo-activo, no activo-pasivo. La diferencia importa: si una zona cae, la capacidad de la otra ya está caliente, así que el tiempo de recuperación depende de la detección y no del arranque de instancias. Eso es lo que hace alcanzable el objetivo de diez minutos.</w:t>
      </w:r>
    </w:p>
    <w:p>
      <w:r>
        <w:t xml:space="preserve">[Pantalla: Figura 3, vista de información]</w:t>
      </w:r>
    </w:p>
    <w:p>
      <w:r>
        <w:t xml:space="preserve">Y esta es la vista de información. Además de las entidades, clasificamos los datos en tres niveles, y el nivel determina el tratamiento. Esto es lo que vuelve verificable el escenario de confidencialidad: la afirmación «cero datos personales en texto plano» solo se puede comprobar si antes se declaró qué cuenta como dato personal.</w:t>
      </w:r>
    </w:p>
    <w:p>
      <w:pPr>
        <w:pBdr>
          <w:bottom w:val="single" w:sz="6" w:space="1" w:color="D0D0D0"/>
        </w:pBdr>
      </w:pPr>
    </w:p>
    <w:p>
      <w:pPr>
        <w:pStyle w:val="Heading3"/>
      </w:pPr>
      <w:r>
        <w:t xml:space="preserve">Bloque 3 — Patrones y su razonamiento · Juan · 4:00 – 5:45</w:t>
      </w:r>
    </w:p>
    <w:p>
      <w:r>
        <w:t xml:space="preserve">[Pantalla: sección 3.1, tabla resumen de patrones]</w:t>
      </w:r>
    </w:p>
    <w:p>
      <w:r>
        <w:t xml:space="preserve">Documentamos doce patrones. Lo que quiero destacar no es la lista sino cómo la construimos: cada patrón está aquí porque hay un escenario de calidad que lo exige, y de cada uno declaramos qué sacrificamos al adoptarlo.</w:t>
      </w:r>
    </w:p>
    <w:p>
      <w:r>
        <w:t xml:space="preserve">[Pantalla: sección 3.2, caché de perfiles]</w:t>
      </w:r>
    </w:p>
    <w:p>
      <w:r>
        <w:t xml:space="preserve">Un ejemplo. El escenario de latencia pide percentil noventa y cinco por debajo de doscientos milisegundos. El perfil de riesgo requiere consultar a Open Finance, que tarda cientos de milisegundos. Ese objetivo es inalcanzable por construcción si la cotización espera esa llamada. Por eso el caché de perfiles no es una optimización: es lo que hace posible el escenario.</w:t>
      </w:r>
    </w:p>
    <w:p>
      <w:r>
        <w:t xml:space="preserve">Y declaramos la contrapartida: un perfil cacheado puede estar hasta quince minutos desactualizado. Para un scoring de seguro es tolerable. No lo sería para un saldo de cuenta, y por eso el caché se aplica al perfil derivado y nunca al dato financiero crudo.</w:t>
      </w:r>
    </w:p>
    <w:p>
      <w:r>
        <w:t xml:space="preserve">[Pantalla: sección 3.6, puertos y adaptadores]</w:t>
      </w:r>
    </w:p>
    <w:p>
      <w:r>
        <w:t xml:space="preserve">Otro ejemplo. El escenario de modificabilidad pide integrar una pasarela de pagos nueva en menos de cuatro horas-hombre, sin tocar el núcleo. Con puertos y adaptadores, el núcleo define una interfaz en lenguaje de dominio y no conoce ninguna implementación. Integrar una pasarela nueva es escribir una clase y agregar una línea de configuración. Cero archivos modificados en el núcleo. Y eso no es una promesa: es una propiedad del grafo de dependencias, porque la flecha apunta al revés.</w:t>
      </w:r>
    </w:p>
    <w:p>
      <w:r>
        <w:t xml:space="preserve">[Pantalla: sección 4, decisiones descartadas]</w:t>
      </w:r>
    </w:p>
    <w:p>
      <w:r>
        <w:t xml:space="preserve">Documentamos también lo que descartamos y por qué. Un monolito modular nos habría simplificado estas ocho semanas, pero impide escalar de forma independiente el servicio de scoring, que es justamente el único con exigencia de latencia y el único con picos de diez veces el tráfico.</w:t>
      </w:r>
    </w:p>
    <w:p>
      <w:pPr>
        <w:pBdr>
          <w:bottom w:val="single" w:sz="6" w:space="1" w:color="D0D0D0"/>
        </w:pBdr>
      </w:pPr>
    </w:p>
    <w:p>
      <w:pPr>
        <w:pStyle w:val="Heading3"/>
      </w:pPr>
      <w:r>
        <w:t xml:space="preserve">Bloque 4 — Propuesta de experimentos · Angie · 5:45 – 7:15</w:t>
      </w:r>
    </w:p>
    <w:p>
      <w:r>
        <w:t xml:space="preserve">[Pantalla: sección 5.1, marco de experimentación]</w:t>
      </w:r>
    </w:p>
    <w:p>
      <w:r>
        <w:t xml:space="preserve">Diseñamos ocho experimentos que cubren los nueve escenarios de calidad. Partimos de una distinción: una prueba verifica que el sistema hace lo especificado; un experimento verifica que una decisión de diseño produce la propiedad que le atribuimos.</w:t>
      </w:r>
    </w:p>
    <w:p>
      <w:r>
        <w:t xml:space="preserve">Por eso cada experimento está formulado como una hipótesis falsable, y cada uno tiene un criterio de refutación explícito. Definimos de antemano qué resultado nos obligaría a cambiar el diseño, porque un experimento que no puede fracasar no aporta información.</w:t>
      </w:r>
    </w:p>
    <w:p>
      <w:r>
        <w:t xml:space="preserve">[Pantalla: sección 5.4, EXP-02]</w:t>
      </w:r>
    </w:p>
    <w:p>
      <w:r>
        <w:t xml:space="preserve">Este es el de degradación elegante. La hipótesis: con el proveedor respondiendo por encima de setecientos milisegundos y diez veces la carga normal, el interruptor de circuito abre en menos de diez segundos y el sistema mantiene el percentil noventa y cinco bajo doscientos milisegundos sirviendo desde caché, sin perder ninguna petición.</w:t>
      </w:r>
    </w:p>
    <w:p>
      <w:r>
        <w:t xml:space="preserve">Y el criterio de refutación: si perdemos peticiones por agotamiento del depósito de conexiones, eso nos diría que los tiempos de espera están mal calibrados frente al presupuesto de latencia. Sabemos de antemano qué aprenderíamos si sale mal.</w:t>
      </w:r>
    </w:p>
    <w:p>
      <w:r>
        <w:t xml:space="preserve">[Pantalla: sección 5.13, resumen del programa]</w:t>
      </w:r>
    </w:p>
    <w:p>
      <w:r>
        <w:t xml:space="preserve">Calificamos la incertidumbre de cada punto de sensibilidad y eso define cuándo se ejecuta cada uno. Cuatro resultaron de incertidumbre alta y forman el Sprint 1 de diseño, en las semanas cinco y seis. Un ejemplo de cómo esa calificación cambió un experimento: en integridad de pólizas, el bloqueo de escritura del almacenamiento es una garantía de la plataforma, así que ahí no tenemos incertidumbre. La incertidumbre está en si nuestra propia ruta de auditoría detecta el intento en menos de un segundo. Reenfocamos el experimento hacia eso.</w:t>
      </w:r>
    </w:p>
    <w:p>
      <w:r>
        <w:t xml:space="preserve">El programa completo son ochenta y dos horas. Cuarenta y dos las comprometemos en el Sprint 1, que es exactamente nuestra capacidad, repartidas entre los cuatro integrantes: once, once, diez y diez horas.</w:t>
      </w:r>
    </w:p>
    <w:p>
      <w:r>
        <w:t xml:space="preserve">[Pantalla: sección 6, refinamiento de estrategia de pruebas]</w:t>
      </w:r>
    </w:p>
    <w:p>
      <w:r>
        <w:t xml:space="preserve">Refinamos también la estrategia de pruebas. El cambio principal es que incorporamos la prueba de arquitectura como nivel propio, distinto de la prueba de integración, porque su criterio de éxito es una medida y no una aserción.</w:t>
      </w:r>
    </w:p>
    <w:p>
      <w:pPr>
        <w:pBdr>
          <w:bottom w:val="single" w:sz="6" w:space="1" w:color="D0D0D0"/>
        </w:pBdr>
      </w:pPr>
    </w:p>
    <w:p>
      <w:pPr>
        <w:pStyle w:val="Heading3"/>
      </w:pPr>
      <w:r>
        <w:t xml:space="preserve">Bloque 5 — Tablero y cierre · Jazmin · 7:15 – 8:00</w:t>
      </w:r>
    </w:p>
    <w:p>
      <w:r>
        <w:t xml:space="preserve">[Pantalla: tablero de Jira con el backlog descompuesto]</w:t>
      </w:r>
    </w:p>
    <w:p>
      <w:r>
        <w:t xml:space="preserve">Este es el tablero con el backlog ya descompuesto. Se ven las épicas, la estimación en puntos, la prioridad de cada historia y la asociación de cada historia de arquitectura con su escenario de calidad.</w:t>
      </w:r>
    </w:p>
    <w:p>
      <w:r>
        <w:t xml:space="preserve">[Pantalla: sección 7.2, compromiso por sprint]</w:t>
      </w:r>
    </w:p>
    <w:p>
      <w:r>
        <w:t xml:space="preserve">Y este es el compromiso por sprint para las cuatro semanas que quedan: dieciocho, dieciocho, diecinueve y veintiún puntos, setenta y seis en total, que es exactamente nuestra capacidad. No dejamos holgura, y lo asumimos de forma explícita: si aparece un imprevisto, sacamos alcance en vez de extender horas.</w:t>
      </w:r>
    </w:p>
    <w:p>
      <w:r>
        <w:t xml:space="preserve">En la semana cinco arrancamos con los experimentos de latencia y de degradación elegante, junto con la construcción del núcleo de cotización.</w:t>
      </w:r>
    </w:p>
    <w:p>
      <w:r>
        <w:t xml:space="preserve">Gracias.</w:t>
      </w:r>
    </w:p>
    <w:p>
      <w:pPr>
        <w:pBdr>
          <w:bottom w:val="single" w:sz="6" w:space="1" w:color="D0D0D0"/>
        </w:pBdr>
      </w:pPr>
    </w:p>
    <w:p>
      <w:pPr>
        <w:pStyle w:val="Heading3"/>
      </w:pPr>
      <w:r>
        <w:t xml:space="preserve">Lista de verificación antes de grabar</w:t>
      </w:r>
    </w:p>
    <w:p>
      <w:pPr>
        <w:pStyle w:val="ListBullet"/>
        <w:numPr>
          <w:ilvl w:val="0"/>
          <w:numId w:val="1"/>
        </w:numPr>
      </w:pPr>
      <w:r>
        <w:t xml:space="preserve">[ ] Los tres diagramas se ven nítidos a pantalla completa</w:t>
      </w:r>
    </w:p>
    <w:p>
      <w:pPr>
        <w:pStyle w:val="ListBullet"/>
        <w:numPr>
          <w:ilvl w:val="0"/>
          <w:numId w:val="1"/>
        </w:numPr>
      </w:pPr>
      <w:r>
        <w:t xml:space="preserve">[ ] El tablero de Jira está actualizado con las 62 historias antes de grabar el bloque 5</w:t>
      </w:r>
    </w:p>
    <w:p>
      <w:pPr>
        <w:pStyle w:val="ListBullet"/>
        <w:numPr>
          <w:ilvl w:val="0"/>
          <w:numId w:val="1"/>
        </w:numPr>
      </w:pPr>
      <w:r>
        <w:t xml:space="preserve">[ ] Los documentos están publicados y sus enlaces funcionan</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La grabación tiene audio de un solo canal y volumen parejo entre presentadores</w:t>
      </w:r>
    </w:p>
    <w:p>
      <w:pPr>
        <w:pStyle w:val="ListBullet"/>
        <w:numPr>
          <w:ilvl w:val="0"/>
          <w:numId w:val="1"/>
        </w:numPr>
      </w:pPr>
      <w:r>
        <w:t xml:space="preserve">[ ] El video queda subido con acceso por enlace y ese enlace está pegado en el documento de entregables</w:t>
      </w:r>
    </w:p>
    <w:p>
      <w:pPr>
        <w:pBdr>
          <w:bottom w:val="single" w:sz="6" w:space="1" w:color="D0D0D0"/>
        </w:pBdr>
      </w:pP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diagrama_contexto.png"/><Relationship Id="rIdImg1" Type="http://schemas.openxmlformats.org/officeDocument/2006/relationships/image" Target="media/vista_funcional.png"/><Relationship Id="rIdImg2" Type="http://schemas.openxmlformats.org/officeDocument/2006/relationships/image" Target="media/vista_despliegue.png"/><Relationship Id="rIdImg3" Type="http://schemas.openxmlformats.org/officeDocument/2006/relationships/image" Target="media/vista_informacion.png"/><Relationship Id="rIdImg4" Type="http://schemas.openxmlformats.org/officeDocument/2006/relationships/image" Target="media/modelo_dominio.png"/><Relationship Id="rIdImg5" Type="http://schemas.openxmlformats.org/officeDocument/2006/relationships/image" Target="media/vista_patrones.png"/><Relationship Id="rIdImg6" Type="http://schemas.openxmlformats.org/officeDocument/2006/relationships/image" Target="media/patron_latencia.png"/><Relationship Id="rIdImg7" Type="http://schemas.openxmlformats.org/officeDocument/2006/relationships/image" Target="media/patron_puertos_adaptadores.png"/><Relationship Id="rIdImg8" Type="http://schemas.openxmlformats.org/officeDocument/2006/relationships/image" Target="media/patron_tokenizacion.png"/></Relationships>
</file>