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Normal"/>
        <w:jc w:val="center"/>
      </w:pPr>
      <w:r>
        <w:rPr>
          <w:b/>
        </w:rPr>
        <w:t xml:space="preserve">MISW4501 · Proyecto Final — Universidad de los Andes</w:t>
      </w:r>
    </w:p>
    <w:p>
      <w:pPr>
        <w:pStyle w:val="Heading1"/>
        <w:jc w:val="center"/>
      </w:pPr>
      <w:r>
        <w:t xml:space="preserve">Estrategia de Pruebas — Solventa</w:t>
      </w:r>
    </w:p>
    <w:p>
      <w:pPr>
        <w:pStyle w:val="Normal"/>
        <w:jc w:val="center"/>
      </w:pPr>
      <w:r>
        <w:t xml:space="preserve">Versión 1.0.0  |  16 de agosto de 2026</w:t>
      </w:r>
    </w:p>
    <w:p/>
    <w:p>
      <w:pPr>
        <w:pStyle w:val="Heading1"/>
      </w:pPr>
      <w:r>
        <w:t xml:space="preserve">1. Aplicación Bajo Pruebas</w:t>
      </w:r>
    </w:p>
    <w:p>
      <w:pPr>
        <w:pStyle w:val="Normal"/>
      </w:pPr>
      <w:r>
        <w:rPr>
          <w:b/>
        </w:rPr>
        <w:t xml:space="preserve">Nombre Aplicación:</w:t>
      </w:r>
    </w:p>
    <w:p>
      <w:pPr>
        <w:pStyle w:val="Normal"/>
      </w:pPr>
      <w:r>
        <w:t xml:space="preserve">Solventa</w:t>
      </w:r>
    </w:p>
    <w:p>
      <w:pPr>
        <w:pStyle w:val="Normal"/>
      </w:pPr>
      <w:r>
        <w:rPr>
          <w:b/>
        </w:rPr>
        <w:t xml:space="preserve">Versión:</w:t>
      </w:r>
    </w:p>
    <w:p>
      <w:pPr>
        <w:pStyle w:val="Normal"/>
      </w:pPr>
      <w:r>
        <w:t xml:space="preserve">1.0.0</w:t>
      </w:r>
    </w:p>
    <w:p>
      <w:pPr>
        <w:pStyle w:val="Normal"/>
      </w:pPr>
      <w:r>
        <w:rPr>
          <w:b/>
        </w:rPr>
        <w:t xml:space="preserve">Descripción:</w:t>
      </w:r>
    </w:p>
    <w:p>
      <w:pPr>
        <w:pStyle w:val="Normal"/>
      </w:pPr>
      <w:r>
        <w:t xml:space="preserve">Solventa es una aseguradora digital (insurtech) greenfield, nativa en la nube, construida sobre Open Finance y Open Data. Su propuesta de valor es permitir cotizar, suscribir, emitir y pagar siniestros de forma casi instantánea, embebiendo seguros directamente en el punto de necesidad del cliente (API-first / embedded insurance). Opera en los ramos de viaje, protección de dispositivos, microseguros de vida, seguro paramétrico (clima/vuelos) y protección de pagos.</w:t>
      </w:r>
    </w:p>
    <w:p/>
    <w:p>
      <w:pPr>
        <w:pStyle w:val="Normal"/>
      </w:pPr>
      <w:r>
        <w:rPr>
          <w:b/>
        </w:rPr>
        <w:t xml:space="preserve">Funcionalidades Core: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Componente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Cotización y oferta (Web)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Motor de rating con señales Open Finance; cotización en tiempo real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Suscripción y emisión (Web)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Cobro, firma digital y emisión automática de póliza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Administración de pólizas (Web)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Ciclo de vida: alta, cambios, renovación, cancelación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Gestión de siniestros (Web)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Evaluación, aprobación, pago y enrutamiento a perito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Onboarding y biometría (Móvil)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Verificación de identidad, selfie/prueba de vida, autenticación biométrica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Billetera de pólizas (Móvil)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Visualización offline, sincronización y gestión de pólizas desde el celular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Reporte de siniestros (Móvil)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Captura de fotos/video con geoetiquetado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Notificaciones y asistencia (Móvil)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Push (pagos paramétricos, renovaciones), geolocalización de prestadores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Open Finance / Open Data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Integración con fuentes financieras y datos abiertos para perfilamiento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KYC / AML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Verificación de identidad y prevención de lavado de activos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Pagos y recaudo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Procesamiento de pagos con idempotencia y alta disponibilidad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Firma electrónica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Firma digital de pólizas y documentos legales</w:t>
            </w:r>
          </w:p>
        </w:tc>
      </w:tr>
    </w:tbl>
    <w:p/>
    <w:p>
      <w:pPr>
        <w:pStyle w:val="Heading2"/>
      </w:pPr>
      <w:r>
        <w:t xml:space="preserve">Diagrama de Arquitectura:</w:t>
      </w:r>
    </w:p>
    <w:p>
      <w:pPr>
        <w:pStyle w:val="Normal"/>
      </w:pPr>
      <w:r>
        <w:rPr>
          <w:b/>
          <w:color w:val="808080"/>
        </w:rPr>
        <w:t xml:space="preserve">[ DIAGRAMA DE ARQUITECTURA ]</w:t>
      </w:r>
    </w:p>
    <w:p>
      <w:pPr>
        <w:pStyle w:val="Normal"/>
      </w:pPr>
      <w:r>
        <w:rPr>
          <w:color w:val="808080"/>
        </w:rPr>
        <w:t xml:space="preserve">(Se insertará la imagen en este espacio)</w:t>
      </w:r>
    </w:p>
    <w:p/>
    <w:p>
      <w:pPr>
        <w:pStyle w:val="Heading2"/>
      </w:pPr>
      <w:r>
        <w:t xml:space="preserve">Diagrama de Contexto:</w:t>
      </w:r>
    </w:p>
    <w:p>
      <w:pPr>
        <w:pStyle w:val="Normal"/>
      </w:pPr>
      <w:r>
        <w:rPr>
          <w:b/>
          <w:color w:val="808080"/>
        </w:rPr>
        <w:t xml:space="preserve">[ DIAGRAMA DE CONTEXTO ]</w:t>
      </w:r>
    </w:p>
    <w:p>
      <w:pPr>
        <w:pStyle w:val="Normal"/>
      </w:pPr>
      <w:r>
        <w:rPr>
          <w:color w:val="808080"/>
        </w:rPr>
        <w:t xml:space="preserve">(Se insertará la imagen en este espacio)</w:t>
      </w:r>
    </w:p>
    <w:p/>
    <w:p>
      <w:pPr>
        <w:pStyle w:val="Heading2"/>
      </w:pPr>
      <w:r>
        <w:t xml:space="preserve">Modelo de Datos:</w:t>
      </w:r>
    </w:p>
    <w:p>
      <w:pPr>
        <w:pStyle w:val="Normal"/>
      </w:pPr>
      <w:r>
        <w:rPr>
          <w:b/>
          <w:color w:val="808080"/>
        </w:rPr>
        <w:t xml:space="preserve">[ MODELO DE DOMINIO / DATOS ]</w:t>
      </w:r>
    </w:p>
    <w:p>
      <w:pPr>
        <w:pStyle w:val="Normal"/>
      </w:pPr>
      <w:r>
        <w:rPr>
          <w:color w:val="808080"/>
        </w:rPr>
        <w:t xml:space="preserve">(Se insertará la imagen en este espacio)</w:t>
      </w:r>
    </w:p>
    <w:p/>
    <w:p>
      <w:pPr>
        <w:pStyle w:val="Heading2"/>
      </w:pPr>
      <w:r>
        <w:t xml:space="preserve">Modelo de GUI:</w:t>
      </w:r>
    </w:p>
    <w:p>
      <w:pPr>
        <w:pStyle w:val="Normal"/>
      </w:pPr>
      <w:r>
        <w:rPr>
          <w:b/>
          <w:color w:val="808080"/>
        </w:rPr>
        <w:t xml:space="preserve">[ MODELO DE GUI (pendiente — prototipos web y móvil) ]</w:t>
      </w:r>
    </w:p>
    <w:p>
      <w:pPr>
        <w:pStyle w:val="Normal"/>
      </w:pPr>
      <w:r>
        <w:rPr>
          <w:color w:val="808080"/>
        </w:rPr>
        <w:t xml:space="preserve">(Se insertará la imagen en este espacio)</w:t>
      </w:r>
    </w:p>
    <w:p/>
    <w:p>
      <w:pPr>
        <w:pStyle w:val="Heading1"/>
      </w:pPr>
      <w:r>
        <w:t xml:space="preserve">2. Contexto de la Estrategia de Pruebas</w:t>
      </w:r>
    </w:p>
    <w:p>
      <w:pPr>
        <w:pStyle w:val="Heading2"/>
      </w:pPr>
      <w:r>
        <w:t xml:space="preserve">2.1 Objetivos</w:t>
      </w:r>
    </w:p>
    <w:p>
      <w:pPr>
        <w:pStyle w:val="Normal"/>
      </w:pPr>
      <w:r>
        <w:t xml:space="preserve">Se establecen los objetivos que se esperan alcanzar durante el periodo de pruebas: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O1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Verificar que los journeys críticos (cotización, suscripción, siniestro) funcionan correctamente en los canales web y móvil de extremo a extremo.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O2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Validar que las APIs de integración (Open Finance, KYC, Pagos) responden dentro de los umbrales de latencia definidos (p95 ≤ 120 ms por dependencia externa).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O3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Comprobar que el sistema mantiene disponibilidad ≥ 99,97 % en los journeys críticos bajo carga variable.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O4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Detectar vulnerabilidades de seguridad en el manejo de PII, autenticación y endpoints expuestos, alineado con PCI-DSS y Ley 1581/2012.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Verificar la correcta presentación e internacionalización de la aplicación para los mercados objetivo (Colombia, México, Chile, Perú).</w:t>
            </w:r>
          </w:p>
        </w:tc>
      </w:tr>
    </w:tbl>
    <w:p/>
    <w:p>
      <w:pPr>
        <w:pStyle w:val="Normal"/>
      </w:pPr>
      <w:r>
        <w:rPr>
          <w:b/>
        </w:rPr>
        <w:t xml:space="preserve">Duración de la iteración de pruebas:</w:t>
      </w:r>
    </w:p>
    <w:p>
      <w:pPr>
        <w:pStyle w:val="Normal"/>
      </w:pPr>
      <w:r>
        <w:t xml:space="preserve">3 de agosto de 2026 – 30 de septiembre de 2026 (8 semanas). El esfuerzo de pruebas se distribuye de forma incremental, alineado con los hitos de entrega del proyecto.</w:t>
      </w:r>
    </w:p>
    <w:p/>
    <w:p>
      <w:pPr>
        <w:pStyle w:val="Heading2"/>
      </w:pPr>
      <w:r>
        <w:t xml:space="preserve">2.2 Presupuesto de Pruebas</w:t>
      </w:r>
    </w:p>
    <w:p>
      <w:pPr>
        <w:pStyle w:val="Heading3"/>
      </w:pPr>
      <w:r>
        <w:t xml:space="preserve">Recursos Humanos</w:t>
      </w:r>
    </w:p>
    <w:p>
      <w:pPr>
        <w:pStyle w:val="Normal"/>
      </w:pPr>
      <w:r>
        <w:t xml:space="preserve">El equipo está conformado por 4 integrantes con formación en ingeniería de sistemas y experiencia en desarrollo de software y arquitectura: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Integrante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Rol en pruebas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Horas/semana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Jazmin Natalia Córdoba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Coordinación de estrategia y pruebas de usabilidad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 h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Juan Esteban Mejía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integración y API (Postman)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 h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Miguel Alejandro Gómez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rendimiento (JMeter) y seguridad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 h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Angie Natalia Arandio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funcionales / unitarias y de módulo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 h</w:t>
            </w:r>
          </w:p>
        </w:tc>
      </w:tr>
      <w:tr>
        <w:tc>
          <w:tcPr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</w:rPr>
              <w:t xml:space="preserve">Total equipo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/>
            </w:r>
          </w:p>
        </w:tc>
        <w:tc>
          <w:tcPr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</w:rPr>
              <w:t xml:space="preserve">24 h/semana</w:t>
            </w:r>
          </w:p>
        </w:tc>
      </w:tr>
    </w:tbl>
    <w:p/>
    <w:p>
      <w:pPr>
        <w:pStyle w:val="Heading3"/>
      </w:pPr>
      <w:r>
        <w:t xml:space="preserve">Recursos Computacionales</w:t>
      </w:r>
    </w:p>
    <w:p>
      <w:pPr>
        <w:pStyle w:val="Normal"/>
      </w:pPr>
      <w:r>
        <w:t xml:space="preserve">Las pruebas se ejecutarán sobre infraestructura en la nube AWS: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Recurso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Detalle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AWS EC2 (t3.medium)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Ejecución de suites de JMeter para pruebas de rendimiento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AWS Device Farm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automatizadas sobre dispositivos Android e iOS para el canal móvil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AWS CloudWatch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Monitoreo de métricas durante pruebas de carga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Laptops del equipo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Desarrollo y ejecución local de pruebas unitarias y de exploración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Postman Cloud (free tier)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Colecciones de pruebas API compartidas en equipo</w:t>
            </w:r>
          </w:p>
        </w:tc>
      </w:tr>
    </w:tbl>
    <w:p/>
    <w:p>
      <w:pPr>
        <w:pStyle w:val="Heading3"/>
      </w:pPr>
      <w:r>
        <w:t xml:space="preserve">Recursos Económicos para contratación de servicios/personal</w:t>
      </w:r>
    </w:p>
    <w:p>
      <w:pPr>
        <w:pStyle w:val="Normal"/>
      </w:pPr>
      <w:r>
        <w:t xml:space="preserve">La estrategia se apoya exclusivamente en herramientas open source y niveles gratuitos de servicios cloud. No se contratarán servicios de outsourcing ni herramientas pagas.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Herramienta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Costo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Uso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Apache JMeter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$0 (open source)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rendimiento y carga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Postman (free tier)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$0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API e integración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OWASP ZAP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$0 (open source)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seguridad automatizadas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JUnit 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$0 (open source)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unitarias y de módulo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AWS Free Tier / créditos académicos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$0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Infraestructura cloud para ejecución de pruebas</w:t>
            </w:r>
          </w:p>
        </w:tc>
      </w:tr>
    </w:tbl>
    <w:p/>
    <w:p>
      <w:pPr>
        <w:pStyle w:val="Heading2"/>
      </w:pPr>
      <w:r>
        <w:t xml:space="preserve">2.3 TNT — Técnicas, Niveles y Tipos de Pruebas</w:t>
      </w:r>
    </w:p>
    <w:p>
      <w:pPr>
        <w:pStyle w:val="Normal"/>
      </w:pPr>
      <w:r>
        <w:t xml:space="preserve">Se especifican las técnicas, niveles y tipos de pruebas a utilizar, con la relación explícita a los objetivos definidos en la sección 2.1: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Nivel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Técnica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Herramienta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Componentes a probar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Objetivo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T1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Manual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Unitario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blanca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JUnit 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Motor de rating, lógica de cotización, cálculo de primas, motor de siniestros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O1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T2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Automática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Módulo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negra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JUnit 5 + Postman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APIs internas: cotización, suscripción, emisión de póliza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O1, O2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T3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Automática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Integración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negra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Postman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Open Finance, KYC/AML, Pagos y recaudo, Firma electrónica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O2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T4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Automática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Sistema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negra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JMeter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Motor cotización (p95 ≤ 250ms), suscripción (p95 ≤ 1,5s), APIs integración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O3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Manual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Aceptación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Exploratoria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Flujo web (cotización→emisión), onboarding móvil, reporte de siniestro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O1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T6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Manual + Automática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Sistema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negra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OWASP ZAP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Autenticación, manejo de PII, endpoints REST, consentimiento Open Finance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O4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T7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Manual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Sistema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Caja negra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N/A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Presentación en español (CO/MX/CL/PE), formatos de moneda, fechas y regulación local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O5</w:t>
            </w:r>
          </w:p>
        </w:tc>
      </w:tr>
    </w:tbl>
    <w:p/>
    <w:p>
      <w:pPr>
        <w:pStyle w:val="Heading2"/>
      </w:pPr>
      <w:r>
        <w:t xml:space="preserve">2.4 Distribución de Esfuerzo</w:t>
      </w:r>
    </w:p>
    <w:p>
      <w:pPr>
        <w:pStyle w:val="Normal"/>
      </w:pPr>
      <w:r>
        <w:rPr>
          <w:b/>
        </w:rPr>
        <w:t xml:space="preserve">Total de horas disponibles: 8 semanas × 24 h/semana = 192 horas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Tipo de prueba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Semanas activas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Horas asignadas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% del total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Responsable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Unitarias y de módulo (T1, T2)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5, 6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48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25 %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Angie Arandio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Integración / API (T3)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6, 7, 8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48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25 %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Juan Mejía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Rendimiento (T4)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5, 6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36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19 %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Miguel Gómez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Usabilidad / exploratoria (T5)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6, 7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30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16 %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Jazmin Córdoba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Seguridad (T6)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7, 8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18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9 %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Miguel Gómez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Internacionalización (T7)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12 h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Todo el equipo</w:t>
            </w:r>
          </w:p>
        </w:tc>
      </w:tr>
      <w:tr>
        <w:tc>
          <w:tcPr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/>
            </w:r>
          </w:p>
        </w:tc>
        <w:tc>
          <w:tcPr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</w:rPr>
              <w:t xml:space="preserve">192 h</w:t>
            </w:r>
          </w:p>
        </w:tc>
        <w:tc>
          <w:tcPr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</w:rPr>
              <w:t xml:space="preserve">100 %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/>
            </w:r>
          </w:p>
        </w:tc>
      </w:tr>
    </w:tbl>
    <w:p/>
    <w:p>
      <w:pPr>
        <w:pStyle w:val="Normal"/>
      </w:pPr>
      <w:r>
        <w:rPr>
          <w:b/>
        </w:rPr>
        <w:t xml:space="preserve">Cronograma de pruebas por hito: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r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Semana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Fechas</w:t>
            </w:r>
          </w:p>
        </w:tc>
        <w:tc>
          <w:tcPr>
            <w:shd w:val="clear" w:color="auto" w:fill="2F549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b/>
                <w:color w:val="FFFFFF"/>
              </w:rPr>
              <w:t xml:space="preserve">Actividad de pruebas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1–2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3–16 ago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Diseño de casos de prueba, configuración de entornos (AWS, Postman, JMeter)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3–4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17–30 ago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hipótesis de calidad; diseño y ejecución de experimentos de arquitectura (rendimiento)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31 ago–6 sep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Ejecución de pruebas de rendimiento con JMeter; análisis de resultados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7–13 sep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unitarias, de módulo e integración del cliente web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14–20 sep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funcionales del cliente móvil; pruebas de usabilidad y seguridad</w:t>
            </w:r>
          </w:p>
        </w:tc>
      </w:tr>
      <w:tr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21–30 sep</w:t>
            </w:r>
          </w:p>
        </w:tc>
        <w:tc>
          <w:tcPr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 xml:space="preserve">Pruebas de integración final (Open Finance, pagos, KYC); internacionalización; cierre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  <w:pPr>
      <w:spacing w:after="160"/>
    </w:pPr>
  </w:style>
  <w:style w:type="paragraph" w:styleId="Heading1">
    <w:name w:val="heading 1"/>
    <w:pPr>
      <w:keepNext/>
      <w:spacing w:before="240" w:after="120"/>
      <w:outlineLvl w:val="0"/>
    </w:pPr>
    <w:rPr>
      <w:rFonts w:ascii="Calibri Light" w:hAnsi="Calibri Light"/>
      <w:b/>
      <w:color w:val="2F5496"/>
      <w:sz w:val="32"/>
      <w:szCs w:val="32"/>
    </w:rPr>
  </w:style>
  <w:style w:type="paragraph" w:styleId="Heading2">
    <w:name w:val="heading 2"/>
    <w:pPr>
      <w:keepNext/>
      <w:spacing w:before="200" w:after="80"/>
      <w:outlineLvl w:val="1"/>
    </w:pPr>
    <w:rPr>
      <w:rFonts w:ascii="Calibri Light" w:hAnsi="Calibri Light"/>
      <w:b/>
      <w:color w:val="2E74B5"/>
      <w:sz w:val="26"/>
      <w:szCs w:val="26"/>
    </w:rPr>
  </w:style>
  <w:style w:type="paragraph" w:styleId="Heading3">
    <w:name w:val="heading 3"/>
    <w:pPr>
      <w:keepNext/>
      <w:spacing w:before="160" w:after="60"/>
      <w:outlineLvl w:val="2"/>
    </w:pPr>
    <w:rPr>
      <w:rFonts w:ascii="Calibri Light" w:hAnsi="Calibri Light"/>
      <w:b/>
      <w:color w:val="1F3864"/>
      <w:sz w:val="24"/>
      <w:szCs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