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Solventa</w:t>
      </w:r>
    </w:p>
    <w:p>
      <w:pPr>
        <w:jc w:val="center"/>
        <w:spacing w:before="0" w:after="40"/>
      </w:pPr>
      <w:r>
        <w:rPr>
          <w:sz w:val="19"/>
          <w:color w:val="44607A"/>
        </w:rPr>
        <w:t xml:space="preserve">Aseguradora digital sobre Finanzas Abiertas y Datos Abiertos</w:t>
      </w:r>
    </w:p>
    <w:p>
      <w:pPr>
        <w:jc w:val="center"/>
        <w:spacing w:before="0" w:after="40"/>
      </w:pPr>
      <w:r>
        <w:rPr>
          <w:b/>
          <w:sz w:val="21"/>
          <w:color w:val="44607A"/>
        </w:rPr>
        <w:t xml:space="preserve">Dirección de Arquitectura</w:t>
      </w:r>
    </w:p>
    <w:p>
      <w:pPr>
        <w:jc w:val="center"/>
        <w:spacing w:before="0" w:after="40"/>
      </w:pPr>
      <w:r>
        <w:rPr>
          <w:sz w:val="19"/>
          <w:color w:val="44607A"/>
        </w:rPr>
        <w:t xml:space="preserve">Documento de Arquitectura de Software</w:t>
      </w:r>
    </w:p>
    <w:p>
      <w:pPr>
        <w:jc w:val="center"/>
        <w:spacing w:before="360" w:after="360"/>
        <w:pBdr>
          <w:bottom w:val="single" w:sz="12" w:space="1" w:color="9CC3E5"/>
        </w:pBdr>
      </w:pPr>
    </w:p>
    <w:p>
      <w:pPr>
        <w:jc w:val="center"/>
        <w:spacing w:before="0" w:after="100"/>
      </w:pPr>
      <w:r>
        <w:rPr>
          <w:b/>
          <w:sz w:val="52"/>
          <w:color w:val="1A3A5C"/>
        </w:rPr>
        <w:t xml:space="preserve">Arquitectura de Solventa</w:t>
      </w:r>
    </w:p>
    <w:p>
      <w:pPr>
        <w:jc w:val="center"/>
        <w:spacing w:before="0" w:after="60"/>
      </w:pPr>
      <w:r>
        <w:rPr>
          <w:sz w:val="30"/>
          <w:color w:val="2E6DA4"/>
        </w:rPr>
        <w:t xml:space="preserve">Estilo, modelos, patrones de diseño, programa de experimentación y plan de construcción</w:t>
      </w:r>
    </w:p>
    <w:p>
      <w:pPr>
        <w:jc w:val="center"/>
        <w:spacing w:before="0" w:after="40"/>
      </w:pPr>
      <w:r>
        <w:rPr>
          <w:sz w:val="24"/>
          <w:color w:val="555555"/>
        </w:rPr>
        <w:t xml:space="preserve">Versión 1.0</w:t>
      </w:r>
    </w:p>
    <w:p>
      <w:pPr>
        <w:jc w:val="center"/>
        <w:spacing w:before="360" w:after="360"/>
        <w:pBdr>
          <w:bottom w:val="single" w:sz="12" w:space="1" w:color="9CC3E5"/>
        </w:pBdr>
      </w:pPr>
    </w:p>
    <w:p>
      <w:pPr>
        <w:jc w:val="center"/>
        <w:spacing w:before="0" w:after="40"/>
      </w:pPr>
      <w:r>
        <w:rPr>
          <w:b/>
          <w:sz w:val="26"/>
          <w:color w:val="1A3A5C"/>
        </w:rPr>
        <w:t xml:space="preserve">Documento técnico</w:t>
      </w:r>
    </w:p>
    <w:p>
      <w:pPr>
        <w:jc w:val="center"/>
        <w:spacing w:before="0" w:after="200"/>
      </w:pPr>
      <w:r>
        <w:rPr>
          <w:sz w:val="22"/>
          <w:color w:val="444444"/>
        </w:rPr>
        <w:t xml:space="preserve">Equipo de arquitectura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Gerencia de proyecto,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para Solventa.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la fase de construcción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4"/>
      </w:pPr>
      <w:r>
        <w:t xml:space="preserve">El mismo nivel funcional como modelo componente-conector</w:t>
      </w:r>
    </w:p>
    <w:p>
      <w:r>
        <w:t xml:space="preserve">La vista anterior sirve para orientarse, pero sus flechas no dicen si una interacción es síncrona o asíncrona ni cuál es el contrato que se usa. El modelo siguiente expresa la misma estructura en </w:t>
      </w:r>
      <w:r>
        <w:rPr>
          <w:b/>
        </w:rPr>
        <w:t xml:space="preserve">notación UML de componente-conector</w:t>
      </w:r>
      <w:r>
        <w:t xml:space="preserve">, donde cada símbolo tiene significado definido.</w:t>
      </w:r>
    </w:p>
    <w:p>
      <w:pPr>
        <w:jc w:val="center"/>
        <w:spacing w:before="160" w:after="60"/>
      </w:pPr>
      <w:r>
        <w:drawing>
          <wp:inline xmlns:wp="http://schemas.openxmlformats.org/drawingml/2006/wordprocessingDrawing" distT="0" distB="0" distL="0" distR="0">
            <wp:extent cx="6126480" cy="4868499"/>
            <wp:docPr id="102" name="Imagen 102"/>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xmlns:r="http://schemas.openxmlformats.org/officeDocument/2006/relationships" r:embed="rIdImg2"/>
                    <a:stretch>
                      <a:fillRect/>
                    </a:stretch>
                  </pic:blipFill>
                  <pic:spPr>
                    <a:xfrm>
                      <a:off x="0" y="0"/>
                      <a:ext cx="6126480" cy="4868499"/>
                    </a:xfrm>
                    <a:prstGeom prst="rect">
                      <a:avLst/>
                    </a:prstGeom>
                  </pic:spPr>
                </pic:pic>
              </a:graphicData>
            </a:graphic>
          </wp:inline>
        </w:drawing>
      </w:r>
    </w:p>
    <w:p>
      <w:pPr>
        <w:jc w:val="center"/>
        <w:spacing w:after="200"/>
      </w:pPr>
      <w:r>
        <w:rPr>
          <w:i/>
          <w:sz w:val="18"/>
          <w:color w:val="666666"/>
        </w:rPr>
        <w:t xml:space="preserve">Figura 3. Figura 3. Vista funcional como modelo componente-conector en notación UML, con puertos e interfaces provistas y requeridas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Símbolo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Qué comunica</w:t>
            </w:r>
          </w:p>
        </w:tc>
      </w:tr>
      <w:tr>
        <w:tc>
          <w:tcPr>
            <w:tcW w:w="0" w:type="auto"/>
          </w:tcPr>
          <w:p>
            <w:pPr>
              <w:spacing w:before="20" w:after="20"/>
            </w:pPr>
            <w:r>
              <w:t xml:space="preserve">Cuadrado sobre el borde</w:t>
            </w:r>
          </w:p>
        </w:tc>
        <w:tc>
          <w:tcPr>
            <w:tcW w:w="0" w:type="auto"/>
          </w:tcPr>
          <w:p>
            <w:pPr>
              <w:spacing w:before="20" w:after="20"/>
            </w:pPr>
            <w:r>
              <w:rPr>
                <w:b/>
              </w:rPr>
              <w:t xml:space="preserve">Puerto</w:t>
            </w:r>
          </w:p>
        </w:tc>
        <w:tc>
          <w:tcPr>
            <w:tcW w:w="0" w:type="auto"/>
          </w:tcPr>
          <w:p>
            <w:pPr>
              <w:spacing w:before="20" w:after="20"/>
            </w:pPr>
            <w:r>
              <w:t xml:space="preserve">Punto de interacción con nombre propio; aísla el interior del componente de su exterior</w:t>
            </w:r>
          </w:p>
        </w:tc>
      </w:tr>
      <w:tr>
        <w:tc>
          <w:tcPr>
            <w:tcW w:w="0" w:type="auto"/>
          </w:tcPr>
          <w:p>
            <w:pPr>
              <w:spacing w:before="20" w:after="20"/>
            </w:pPr>
            <w:r>
              <w:t xml:space="preserve">Círculo</w:t>
            </w:r>
          </w:p>
        </w:tc>
        <w:tc>
          <w:tcPr>
            <w:tcW w:w="0" w:type="auto"/>
          </w:tcPr>
          <w:p>
            <w:pPr>
              <w:spacing w:before="20" w:after="20"/>
            </w:pPr>
            <w:r>
              <w:rPr>
                <w:b/>
              </w:rPr>
              <w:t xml:space="preserve">Interfaz provista</w:t>
            </w:r>
          </w:p>
        </w:tc>
        <w:tc>
          <w:tcPr>
            <w:tcW w:w="0" w:type="auto"/>
          </w:tcPr>
          <w:p>
            <w:pPr>
              <w:spacing w:before="20" w:after="20"/>
            </w:pPr>
            <w:r>
              <w:t xml:space="preserve">Lo que el componente ofrece</w:t>
            </w:r>
          </w:p>
        </w:tc>
      </w:tr>
      <w:tr>
        <w:tc>
          <w:tcPr>
            <w:tcW w:w="0" w:type="auto"/>
          </w:tcPr>
          <w:p>
            <w:pPr>
              <w:spacing w:before="20" w:after="20"/>
            </w:pPr>
            <w:r>
              <w:t xml:space="preserve">Semicírculo</w:t>
            </w:r>
          </w:p>
        </w:tc>
        <w:tc>
          <w:tcPr>
            <w:tcW w:w="0" w:type="auto"/>
          </w:tcPr>
          <w:p>
            <w:pPr>
              <w:spacing w:before="20" w:after="20"/>
            </w:pPr>
            <w:r>
              <w:rPr>
                <w:b/>
              </w:rPr>
              <w:t xml:space="preserve">Interfaz requerida</w:t>
            </w:r>
          </w:p>
        </w:tc>
        <w:tc>
          <w:tcPr>
            <w:tcW w:w="0" w:type="auto"/>
          </w:tcPr>
          <w:p>
            <w:pPr>
              <w:spacing w:before="20" w:after="20"/>
            </w:pPr>
            <w:r>
              <w:t xml:space="preserve">Lo que el componente necesita</w:t>
            </w:r>
          </w:p>
        </w:tc>
      </w:tr>
      <w:tr>
        <w:tc>
          <w:tcPr>
            <w:tcW w:w="0" w:type="auto"/>
          </w:tcPr>
          <w:p>
            <w:pPr>
              <w:spacing w:before="20" w:after="20"/>
            </w:pPr>
            <w:r>
              <w:t xml:space="preserve">Círculo encajado en semicírculo</w:t>
            </w:r>
          </w:p>
        </w:tc>
        <w:tc>
          <w:tcPr>
            <w:tcW w:w="0" w:type="auto"/>
          </w:tcPr>
          <w:p>
            <w:pPr>
              <w:spacing w:before="20" w:after="20"/>
            </w:pPr>
            <w:r>
              <w:rPr>
                <w:b/>
              </w:rPr>
              <w:t xml:space="preserve">Conector de ensamblaje</w:t>
            </w:r>
          </w:p>
        </w:tc>
        <w:tc>
          <w:tcPr>
            <w:tcW w:w="0" w:type="auto"/>
          </w:tcPr>
          <w:p>
            <w:pPr>
              <w:spacing w:before="20" w:after="20"/>
            </w:pPr>
            <w:r>
              <w:t xml:space="preserve">El contrato concreto entre dos componentes</w:t>
            </w:r>
          </w:p>
        </w:tc>
      </w:tr>
      <w:tr>
        <w:tc>
          <w:tcPr>
            <w:tcW w:w="0" w:type="auto"/>
          </w:tcPr>
          <w:p>
            <w:pPr>
              <w:spacing w:before="20" w:after="20"/>
            </w:pPr>
            <w:r>
              <w:t xml:space="preserve">Conector marcado con </w:t>
            </w:r>
            <w:r>
              <w:rPr>
                <w:b/>
              </w:rPr>
              <w:t xml:space="preserve">M</w:t>
            </w:r>
          </w:p>
        </w:tc>
        <w:tc>
          <w:tcPr>
            <w:tcW w:w="0" w:type="auto"/>
          </w:tcPr>
          <w:p>
            <w:pPr>
              <w:spacing w:before="20" w:after="20"/>
            </w:pPr>
            <w:r>
              <w:t xml:space="preserve">Conector de mensajería</w:t>
            </w:r>
          </w:p>
        </w:tc>
        <w:tc>
          <w:tcPr>
            <w:tcW w:w="0" w:type="auto"/>
          </w:tcPr>
          <w:p>
            <w:pPr>
              <w:spacing w:before="20" w:after="20"/>
            </w:pPr>
            <w:r>
              <w:t xml:space="preserve">Comunicación asíncrona por el bus de eventos</w:t>
            </w:r>
          </w:p>
        </w:tc>
      </w:tr>
      <w:tr>
        <w:tc>
          <w:tcPr>
            <w:tcW w:w="0" w:type="auto"/>
          </w:tcPr>
          <w:p>
            <w:pPr>
              <w:spacing w:before="20" w:after="20"/>
            </w:pPr>
            <w:r>
              <w:t xml:space="preserve">Nombre precedido de dos puntos</w:t>
            </w:r>
          </w:p>
        </w:tc>
        <w:tc>
          <w:tcPr>
            <w:tcW w:w="0" w:type="auto"/>
          </w:tcPr>
          <w:p>
            <w:pPr>
              <w:spacing w:before="20" w:after="20"/>
            </w:pPr>
            <w:r>
              <w:t xml:space="preserve">Instancia de componente</w:t>
            </w:r>
          </w:p>
        </w:tc>
        <w:tc>
          <w:tcPr>
            <w:tcW w:w="0" w:type="auto"/>
          </w:tcPr>
          <w:p>
            <w:pPr>
              <w:spacing w:before="20" w:after="20"/>
            </w:pPr>
            <w:r>
              <w:t xml:space="preserve">Algo que se ejecuta, no un tipo</w:t>
            </w:r>
          </w:p>
        </w:tc>
      </w:tr>
    </w:tbl>
    <w:p>
      <w:r>
        <w:t/>
      </w:r>
    </w:p>
    <w:p>
      <w:r>
        <w:rPr>
          <w:b/>
        </w:rPr>
        <w:t xml:space="preserve">Por qué esta notación y no cajas genéricas.</w:t>
      </w:r>
      <w:r>
        <w:t xml:space="preserve"> Los puertos y las interfaces son exactamente donde vive el argumento de modificabilidad del ASR-2.1. El componente </w:t>
      </w:r>
      <w:r>
        <w:rPr>
          <w:rFonts w:ascii="Consolas" w:hAnsi="Consolas"/>
          <w:sz w:val="18"/>
          <w:color w:val="B03A2E"/>
        </w:rPr>
        <w:t xml:space="preserve">:Pagos</w:t>
      </w:r>
      <w:r>
        <w:t xml:space="preserve"> declara el puerto </w:t>
      </w:r>
      <w:r>
        <w:rPr>
          <w:rFonts w:ascii="Consolas" w:hAnsi="Consolas"/>
          <w:sz w:val="18"/>
          <w:color w:val="B03A2E"/>
        </w:rPr>
        <w:t xml:space="preserve">CobrarPrima</w:t>
      </w:r>
      <w:r>
        <w:t xml:space="preserve"> en lenguaje de dominio —autorizar, confirmar, reversar— y no conoce ninguna pasarela concreta; los adaptadores implementan </w:t>
      </w:r>
      <w:r>
        <w:rPr>
          <w:rFonts w:ascii="Consolas" w:hAnsi="Consolas"/>
          <w:sz w:val="18"/>
          <w:color w:val="B03A2E"/>
        </w:rPr>
        <w:t xml:space="preserve">PasarelaPago</w:t>
      </w:r>
      <w:r>
        <w:t xml:space="preserve">. Integrar una pasarela nueva no puede obligar a modificar el núcleo porque no existe ninguna arista que salga de él hacia afuera. Con cajas genéricas eso hay que afirmarlo en prosa; en notación UML se lee en el diagrama.</w:t>
      </w:r>
    </w:p>
    <w:p>
      <w:r>
        <w:rPr>
          <w:b/>
        </w:rPr>
        <w:t xml:space="preserve">Los ocho contratos del sistema.</w:t>
      </w:r>
      <w:r>
        <w:t xml:space="preserve"> El modelo nombra las interfaces que constituyen la frontera entre componentes: </w:t>
      </w:r>
      <w:r>
        <w:rPr>
          <w:rFonts w:ascii="Consolas" w:hAnsi="Consolas"/>
          <w:sz w:val="18"/>
          <w:color w:val="B03A2E"/>
        </w:rPr>
        <w:t xml:space="preserve">APICliente</w:t>
      </w:r>
      <w:r>
        <w:t xml:space="preserve">, </w:t>
      </w:r>
      <w:r>
        <w:rPr>
          <w:rFonts w:ascii="Consolas" w:hAnsi="Consolas"/>
          <w:sz w:val="18"/>
          <w:color w:val="B03A2E"/>
        </w:rPr>
        <w:t xml:space="preserve">Cotizar</w:t>
      </w:r>
      <w:r>
        <w:t xml:space="preserve">, </w:t>
      </w:r>
      <w:r>
        <w:rPr>
          <w:rFonts w:ascii="Consolas" w:hAnsi="Consolas"/>
          <w:sz w:val="18"/>
          <w:color w:val="B03A2E"/>
        </w:rPr>
        <w:t xml:space="preserve">Scoring</w:t>
      </w:r>
      <w:r>
        <w:t xml:space="preserve">, </w:t>
      </w:r>
      <w:r>
        <w:rPr>
          <w:rFonts w:ascii="Consolas" w:hAnsi="Consolas"/>
          <w:sz w:val="18"/>
          <w:color w:val="B03A2E"/>
        </w:rPr>
        <w:t xml:space="preserve">Tokenizar</w:t>
      </w:r>
      <w:r>
        <w:t xml:space="preserve">, </w:t>
      </w:r>
      <w:r>
        <w:rPr>
          <w:rFonts w:ascii="Consolas" w:hAnsi="Consolas"/>
          <w:sz w:val="18"/>
          <w:color w:val="B03A2E"/>
        </w:rPr>
        <w:t xml:space="preserve">CobrarPrima</w:t>
      </w:r>
      <w:r>
        <w:t xml:space="preserve">, </w:t>
      </w:r>
      <w:r>
        <w:rPr>
          <w:rFonts w:ascii="Consolas" w:hAnsi="Consolas"/>
          <w:sz w:val="18"/>
          <w:color w:val="B03A2E"/>
        </w:rPr>
        <w:t xml:space="preserve">EmitirPoliza</w:t>
      </w:r>
      <w:r>
        <w:t xml:space="preserve">, </w:t>
      </w:r>
      <w:r>
        <w:rPr>
          <w:rFonts w:ascii="Consolas" w:hAnsi="Consolas"/>
          <w:sz w:val="18"/>
          <w:color w:val="B03A2E"/>
        </w:rPr>
        <w:t xml:space="preserve">PerfilExterno</w:t>
      </w:r>
      <w:r>
        <w:t xml:space="preserve">, </w:t>
      </w:r>
      <w:r>
        <w:rPr>
          <w:rFonts w:ascii="Consolas" w:hAnsi="Consolas"/>
          <w:sz w:val="18"/>
          <w:color w:val="B03A2E"/>
        </w:rPr>
        <w:t xml:space="preserve">PasarelaPago</w:t>
      </w:r>
      <w:r>
        <w:t xml:space="preserve"> y </w:t>
      </w:r>
      <w:r>
        <w:rPr>
          <w:rFonts w:ascii="Consolas" w:hAnsi="Consolas"/>
          <w:sz w:val="18"/>
          <w:color w:val="B03A2E"/>
        </w:rPr>
        <w:t xml:space="preserve">VerificarIdentidad</w:t>
      </w:r>
      <w:r>
        <w:t xml:space="preserve">. Esa lista es el contrato que la fase de construcción debe respetar: la revisión de arquitectura validará que el código se conforme a esta arquitectura, y estas interfaces son la parte verificable de ese compromiso.</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3" name="Imagen 103"/>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xmlns:r="http://schemas.openxmlformats.org/officeDocument/2006/relationships" r:embed="rIdImg3"/>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4. 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 la fase de diseño,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4" name="Imagen 104"/>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xmlns:r="http://schemas.openxmlformats.org/officeDocument/2006/relationships" r:embed="rIdImg4"/>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5. 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5" name="Imagen 105"/>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xmlns:r="http://schemas.openxmlformats.org/officeDocument/2006/relationships" r:embed="rIdImg5"/>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6. 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6" name="Imagen 106"/>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xmlns:r="http://schemas.openxmlformats.org/officeDocument/2006/relationships" r:embed="rIdImg6"/>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7. 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fase de construcción</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7" name="Imagen 107"/>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xmlns:r="http://schemas.openxmlformats.org/officeDocument/2006/relationships" r:embed="rIdImg7"/>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8. 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8" name="Imagen 108"/>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xmlns:r="http://schemas.openxmlformats.org/officeDocument/2006/relationships" r:embed="rIdImg8"/>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9. 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9" name="Imagen 109"/>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xmlns:r="http://schemas.openxmlformats.org/officeDocument/2006/relationships" r:embed="rIdImg9"/>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10. 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Programa de experimentación de arquitectura</w:t>
      </w:r>
    </w:p>
    <w:p>
      <w:pPr>
        <w:pStyle w:val="Heading3"/>
      </w:pPr>
      <w:r>
        <w:t xml:space="preserve">5.1 Alcance del programa de experimentación</w:t>
      </w:r>
    </w:p>
    <w:p>
      <w:r>
        <w:t xml:space="preserve">Un experimento de arquitectura valida una hipótesis de diseño sobre la cual el equipo tiene incertidumbre, construyendo una porción real del diseño para medir si la decisión tomada produce la propiedad de calidad que se le atribuyó. No sustituye a las pruebas: las antecede.</w:t>
      </w:r>
    </w:p>
    <w:p>
      <w:r>
        <w:t xml:space="preserve">Tres reglas gobiernan este programa. La porción que se construye es código de producción, no un banco de pruebas desechable. Cada experimento define de antemano la métrica, el instrumento y el umbral que separa el éxito del fracaso. Y cada uno declara la decisión alternativa que se adoptaría ante un resultado adverso, porque un experimento sin plan B es una demostración.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fase de construcción</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 la fase de construcción. El criterio que decide cuál va a cada categoría se explica en §5.3.</w:t>
      </w:r>
    </w:p>
    <w:p>
      <w:pPr>
        <w:pStyle w:val="Heading3"/>
      </w:pPr>
      <w:r>
        <w:t xml:space="preserve">5.3 Cuántos experimentos y con qué criterio</w:t>
      </w:r>
    </w:p>
    <w:p>
      <w:r>
        <w:t xml:space="preserve">El número de experimentos no está fijado de antemano: el equipo lo justifica. El criterio combina una restricción de calendario con una regla de utilidad.</w:t>
      </w:r>
    </w:p>
    <w:p>
      <w:r>
        <w:rPr>
          <w:b/>
        </w:rPr>
        <w:t xml:space="preserve">La restricción de calendario.</w:t>
      </w:r>
      <w:r>
        <w:t xml:space="preserve"> El diseño de los experimentos se cierra el 6 de septiembre, pero su </w:t>
      </w:r>
      <w:r>
        <w:rPr>
          <w:b/>
        </w:rPr>
        <w:t xml:space="preserve">construcción y ejecución</w:t>
      </w:r>
      <w:r>
        <w:t xml:space="preserve"> ocurre entre el 7 y el 20 de septiembre, que son las mismas dos semanas en que debe construirse toda la experiencia de usuario del prototipo web y móvil. No son dos semanas dedicadas a experimentar: son dos semanas compartidas.</w:t>
      </w:r>
    </w:p>
    <w:p>
      <w:pPr>
        <w:pStyle w:val="Code"/>
      </w:pPr>
      <w:r>
        <w:t xml:space="preserve">Capacidad del equipo, 7 al 20 de septiembre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 esta fase no lo cubre. Se difiere a la fase de construcción,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fundamental: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entre el 7 y el 20 de septiembre.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hasta 6 sep</w:t>
            </w:r>
          </w:p>
        </w:tc>
        <w:tc>
          <w:tcPr>
            <w:tcW w:w="0" w:type="auto"/>
          </w:tcPr>
          <w:p>
            <w:pPr>
              <w:spacing w:before="20" w:after="20"/>
            </w:pPr>
            <w:r>
              <w:t xml:space="preserve">7 – 13 sep</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hasta 6 sep</w:t>
            </w:r>
          </w:p>
        </w:tc>
        <w:tc>
          <w:tcPr>
            <w:tcW w:w="0" w:type="auto"/>
          </w:tcPr>
          <w:p>
            <w:pPr>
              <w:spacing w:before="20" w:after="20"/>
            </w:pPr>
            <w:r>
              <w:t xml:space="preserve">7 – 20 sep</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hasta 6 sep</w:t>
            </w:r>
          </w:p>
        </w:tc>
        <w:tc>
          <w:tcPr>
            <w:tcW w:w="0" w:type="auto"/>
          </w:tcPr>
          <w:p>
            <w:pPr>
              <w:spacing w:before="20" w:after="20"/>
            </w:pPr>
            <w:r>
              <w:t xml:space="preserve">14 – 20 sep</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se cierra el 6 de septiembre. La construcción y ejecución ocurre entre el 7 y el 20 de septiembre, compartida con la construcción de la experiencia de usuario. Los resultados y el ajuste de las decisiones de diseño que se deriven de ellos se consolidan en la última semana de la fase.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Estrategia de pruebas</w:t>
      </w:r>
    </w:p>
    <w:p>
      <w:r>
        <w:t xml:space="preserve">La estrategia de pruebas se refina en dos puntos como consecuencia del diseño detallado de este documento.</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 la fase de diseño</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Plan de construcción</w:t>
      </w:r>
    </w:p>
    <w:p>
      <w:r>
        <w:t xml:space="preserve">El alcance comprometido, el cálculo de la capacidad del equipo, la distribución por sprint y el seguimiento del backlog se detallan en el documento de Capacidad, Esfuerzo y Plan de Trabajo.</w:t>
      </w:r>
    </w:p>
    <w:p>
      <w:r>
        <w:t xml:space="preserve">El resumen es el siguiente: con una velocidad efectiva de 19 puntos de historia por semana, la fase de construcción dispone de 133 puntos repartidos en tres sprints de dos, dos y tres semanas. De las 62 historias del backlog se comprometen 30, que suman exactamente esos 133 puntos; las 32 restantes, con 96 puntos, quedan documentadas y priorizadas en el tablero para una fase posterior.</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funcional_uml.png"/><Relationship Id="rIdImg3" Type="http://schemas.openxmlformats.org/officeDocument/2006/relationships/image" Target="media/vista_despliegue.png"/><Relationship Id="rIdImg4" Type="http://schemas.openxmlformats.org/officeDocument/2006/relationships/image" Target="media/vista_informacion.png"/><Relationship Id="rIdImg5" Type="http://schemas.openxmlformats.org/officeDocument/2006/relationships/image" Target="media/modelo_dominio.png"/><Relationship Id="rIdImg6" Type="http://schemas.openxmlformats.org/officeDocument/2006/relationships/image" Target="media/vista_patrones.png"/><Relationship Id="rIdImg7" Type="http://schemas.openxmlformats.org/officeDocument/2006/relationships/image" Target="media/patron_latencia.png"/><Relationship Id="rIdImg8" Type="http://schemas.openxmlformats.org/officeDocument/2006/relationships/image" Target="media/patron_puertos_adaptadores.png"/><Relationship Id="rIdImg9" Type="http://schemas.openxmlformats.org/officeDocument/2006/relationships/image" Target="media/patron_tokenizacion.png"/></Relationships>
</file>