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Solventa</w:t>
      </w:r>
    </w:p>
    <w:p>
      <w:pPr>
        <w:jc w:val="center"/>
        <w:spacing w:before="0" w:after="40"/>
      </w:pPr>
      <w:r>
        <w:rPr>
          <w:sz w:val="19"/>
          <w:color w:val="44607A"/>
        </w:rPr>
        <w:t xml:space="preserve">Aseguradora digital sobre Finanzas Abiertas y Datos Abiertos</w:t>
      </w:r>
    </w:p>
    <w:p>
      <w:pPr>
        <w:jc w:val="center"/>
        <w:spacing w:before="0" w:after="40"/>
      </w:pPr>
      <w:r>
        <w:rPr>
          <w:b/>
          <w:sz w:val="21"/>
          <w:color w:val="44607A"/>
        </w:rPr>
        <w:t xml:space="preserve">Dirección de Arquitectura</w:t>
      </w:r>
    </w:p>
    <w:p>
      <w:pPr>
        <w:jc w:val="center"/>
        <w:spacing w:before="0" w:after="40"/>
      </w:pPr>
      <w:r>
        <w:rPr>
          <w:sz w:val="19"/>
          <w:color w:val="44607A"/>
        </w:rPr>
        <w:t xml:space="preserve">Plan de Construcción</w:t>
      </w:r>
    </w:p>
    <w:p>
      <w:pPr>
        <w:jc w:val="center"/>
        <w:spacing w:before="360" w:after="360"/>
        <w:pBdr>
          <w:bottom w:val="single" w:sz="12" w:space="1" w:color="9CC3E5"/>
        </w:pBdr>
      </w:pPr>
    </w:p>
    <w:p>
      <w:pPr>
        <w:jc w:val="center"/>
        <w:spacing w:before="0" w:after="100"/>
      </w:pPr>
      <w:r>
        <w:rPr>
          <w:b/>
          <w:sz w:val="52"/>
          <w:color w:val="1A3A5C"/>
        </w:rPr>
        <w:t xml:space="preserve">Capacidad, Esfuerzo y Plan de Trabajo</w:t>
      </w:r>
    </w:p>
    <w:p>
      <w:pPr>
        <w:jc w:val="center"/>
        <w:spacing w:before="0" w:after="60"/>
      </w:pPr>
      <w:r>
        <w:rPr>
          <w:sz w:val="30"/>
          <w:color w:val="2E6DA4"/>
        </w:rPr>
        <w:t xml:space="preserve">Cálculo de capacidad del equipo, alcance comprometido y seguimiento en Jira</w:t>
      </w:r>
    </w:p>
    <w:p>
      <w:pPr>
        <w:jc w:val="center"/>
        <w:spacing w:before="0" w:after="40"/>
      </w:pPr>
      <w:r>
        <w:rPr>
          <w:sz w:val="24"/>
          <w:color w:val="555555"/>
        </w:rPr>
        <w:t xml:space="preserve">Versión 1.0</w:t>
      </w:r>
    </w:p>
    <w:p>
      <w:pPr>
        <w:jc w:val="center"/>
        <w:spacing w:before="360" w:after="360"/>
        <w:pBdr>
          <w:bottom w:val="single" w:sz="12" w:space="1" w:color="9CC3E5"/>
        </w:pBdr>
      </w:pPr>
    </w:p>
    <w:p>
      <w:pPr>
        <w:jc w:val="center"/>
        <w:spacing w:before="0" w:after="40"/>
      </w:pPr>
      <w:r>
        <w:rPr>
          <w:b/>
          <w:sz w:val="26"/>
          <w:color w:val="1A3A5C"/>
        </w:rPr>
        <w:t xml:space="preserve">Documento de planeación</w:t>
      </w:r>
    </w:p>
    <w:p>
      <w:pPr>
        <w:jc w:val="center"/>
        <w:spacing w:before="0" w:after="200"/>
      </w:pPr>
      <w:r>
        <w:rPr>
          <w:sz w:val="22"/>
          <w:color w:val="444444"/>
        </w:rPr>
        <w:t xml:space="preserve">Equipo de arquitectura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Gerencia de proyecto,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1.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r>
        <w:t xml:space="preserve">El equipo adopta la equivalencia de referencia de </w:t>
      </w:r>
      <w:r>
        <w:rPr>
          <w:b/>
        </w:rPr>
        <w:t xml:space="preserve">1 punto de historia = 2 horas de trabajo efectivo</w:t>
      </w:r>
      <w:r>
        <w:t xml:space="preserve">, que se recalibrará al cerrar el primer sprint cuando exista velocidad medida.</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factor de carga del 80 %,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 cada fase</w:t>
      </w:r>
    </w:p>
    <w:p>
      <w:pPr>
        <w:pStyle w:val="Code"/>
      </w:pPr>
      <w:r>
        <w:t xml:space="preserve">Fase de diseño        8 semanas × 19 pts  =  152 pts</w:t>
      </w:r>
    </w:p>
    <w:p>
      <w:pPr>
        <w:pStyle w:val="Code"/>
      </w:pPr>
      <w:r>
        <w:t xml:space="preserve">Fase de construcción  7 semanas × 19 pts  =  133 pts</w:t>
      </w:r>
    </w:p>
    <w:p>
      <w:r>
        <w:t/>
      </w:r>
    </w:p>
    <w:p>
      <w:r>
        <w:rPr>
          <w:b/>
        </w:rPr>
        <w:t xml:space="preserve">Paso 5 — Capacidad realmente disponible para construir historias</w:t>
      </w:r>
    </w:p>
    <w:p>
      <w:r>
        <w:t xml:space="preserve">Los 152 puntos de la fase de diseño se consumen íntegramente en acta de constitución, EDT, visión de arquitectura, escenarios de calidad, estrategia de pruebas, diseño y ejecución de experimentos y experiencia de usuario. Ese trabajo es necesario, pero no produce historias del backlog de producto. Las historias se construyen en los tres sprints de la fase de construcción, que son de dos, dos y tres semanas.</w:t>
      </w:r>
    </w:p>
    <w:p>
      <w:pPr>
        <w:pStyle w:val="Code"/>
      </w:pPr>
      <w:r>
        <w:t xml:space="preserve">Fase de diseño — arquitectura, experimentos y UX      152 pts</w:t>
      </w:r>
    </w:p>
    <w:p>
      <w:pPr>
        <w:pStyle w:val="Code"/>
      </w:pPr>
      <w:r>
        <w:t xml:space="preserve">Fase de construcción — construcción del producto      133 pts</w:t>
      </w:r>
    </w:p>
    <w:p>
      <w:pPr>
        <w:pStyle w:val="Code"/>
      </w:pPr>
      <w:r>
        <w:t xml:space="preserve">────────────────────────────────────────────────────────────</w:t>
      </w:r>
    </w:p>
    <w:p>
      <w:pPr>
        <w:pStyle w:val="Code"/>
      </w:pPr>
      <w:r>
        <w:t xml:space="preserve">Sprint 1   2 semanas × 19 pts   =   38 pts</w:t>
      </w:r>
    </w:p>
    <w:p>
      <w:pPr>
        <w:pStyle w:val="Code"/>
      </w:pPr>
      <w:r>
        <w:t xml:space="preserve">Sprint 2   2 semanas × 19 pts   =   38 pts</w:t>
      </w:r>
    </w:p>
    <w:p>
      <w:pPr>
        <w:pStyle w:val="Code"/>
      </w:pPr>
      <w:r>
        <w:t xml:space="preserve">Sprint 3   3 semanas × 19 pts   =   57 pts</w:t>
      </w:r>
    </w:p>
    <w:p>
      <w:r>
        <w:t/>
      </w:r>
    </w:p>
    <w:p>
      <w:pPr>
        <w:pStyle w:val="Quote"/>
      </w:pPr>
      <w:r>
        <w:rPr>
          <w:b/>
        </w:rPr>
        <w:t xml:space="preserve">Capacidad disponible para construir historias: 133 puntos.</w:t>
      </w:r>
    </w:p>
    <w:p>
      <w:pPr>
        <w:pStyle w:val="Heading2"/>
      </w:pPr>
      <w:r>
        <w:t xml:space="preserve">2. Capacidad por integrante</w:t>
      </w:r>
    </w:p>
    <w:p>
      <w:r>
        <w:t xml:space="preserve">La misma cuenta, vista por persona, muestra cuánto aporta cada integrante a esos 133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en la fase de construcción</w:t>
            </w:r>
          </w:p>
        </w:tc>
        <w:tc>
          <w:tcPr>
            <w:tcW w:w="0" w:type="auto"/>
          </w:tcPr>
          <w:p>
            <w:pPr>
              <w:spacing w:before="20" w:after="20"/>
            </w:pPr>
            <w:r>
              <w:t xml:space="preserve">12 h/semana × 7 semanas</w:t>
            </w:r>
          </w:p>
        </w:tc>
        <w:tc>
          <w:tcPr>
            <w:tcW w:w="0" w:type="auto"/>
          </w:tcPr>
          <w:p>
            <w:pPr>
              <w:spacing w:before="20" w:after="20"/>
            </w:pPr>
            <w:r>
              <w:t xml:space="preserve">84 h</w:t>
            </w:r>
          </w:p>
        </w:tc>
      </w:tr>
      <w:tr>
        <w:tc>
          <w:tcPr>
            <w:tcW w:w="0" w:type="auto"/>
          </w:tcPr>
          <w:p>
            <w:pPr>
              <w:spacing w:before="20" w:after="20"/>
            </w:pPr>
            <w:r>
              <w:t xml:space="preserve">Convertidas a puntos</w:t>
            </w:r>
          </w:p>
        </w:tc>
        <w:tc>
          <w:tcPr>
            <w:tcW w:w="0" w:type="auto"/>
          </w:tcPr>
          <w:p>
            <w:pPr>
              <w:spacing w:before="20" w:after="20"/>
            </w:pPr>
            <w:r>
              <w:t xml:space="preserve">84 h ÷ 2 h/punto</w:t>
            </w:r>
          </w:p>
        </w:tc>
        <w:tc>
          <w:tcPr>
            <w:tcW w:w="0" w:type="auto"/>
          </w:tcPr>
          <w:p>
            <w:pPr>
              <w:spacing w:before="20" w:after="20"/>
            </w:pPr>
            <w:r>
              <w:t xml:space="preserve">42 pts brutos</w:t>
            </w:r>
          </w:p>
        </w:tc>
      </w:tr>
      <w:tr>
        <w:tc>
          <w:tcPr>
            <w:tcW w:w="0" w:type="auto"/>
          </w:tcPr>
          <w:p>
            <w:pPr>
              <w:spacing w:before="20" w:after="20"/>
            </w:pPr>
            <w:r>
              <w:t xml:space="preserve">Aplicando el factor de carga del 80 %</w:t>
            </w:r>
          </w:p>
        </w:tc>
        <w:tc>
          <w:tcPr>
            <w:tcW w:w="0" w:type="auto"/>
          </w:tcPr>
          <w:p>
            <w:pPr>
              <w:spacing w:before="20" w:after="20"/>
            </w:pPr>
            <w:r>
              <w:t xml:space="preserve">42 pts × 0,80</w:t>
            </w:r>
          </w:p>
        </w:tc>
        <w:tc>
          <w:tcPr>
            <w:tcW w:w="0" w:type="auto"/>
          </w:tcPr>
          <w:p>
            <w:pPr>
              <w:spacing w:before="20" w:after="20"/>
            </w:pPr>
            <w:r>
              <w:t xml:space="preserve">33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33 pts × 4 personas</w:t>
            </w:r>
          </w:p>
        </w:tc>
        <w:tc>
          <w:tcPr>
            <w:tcW w:w="0" w:type="auto"/>
          </w:tcPr>
          <w:p>
            <w:pPr>
              <w:spacing w:before="20" w:after="20"/>
            </w:pPr>
            <w:r>
              <w:t xml:space="preserve">133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84 h</w:t>
            </w:r>
          </w:p>
        </w:tc>
        <w:tc>
          <w:tcPr>
            <w:tcW w:w="0" w:type="auto"/>
          </w:tcPr>
          <w:p>
            <w:pPr>
              <w:spacing w:before="20" w:after="20"/>
            </w:pPr>
            <w:r>
              <w:t xml:space="preserve">33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84 h</w:t>
            </w:r>
          </w:p>
        </w:tc>
        <w:tc>
          <w:tcPr>
            <w:tcW w:w="0" w:type="auto"/>
          </w:tcPr>
          <w:p>
            <w:pPr>
              <w:spacing w:before="20" w:after="20"/>
            </w:pPr>
            <w:r>
              <w:t xml:space="preserve">33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84 h</w:t>
            </w:r>
          </w:p>
        </w:tc>
        <w:tc>
          <w:tcPr>
            <w:tcW w:w="0" w:type="auto"/>
          </w:tcPr>
          <w:p>
            <w:pPr>
              <w:spacing w:before="20" w:after="20"/>
            </w:pPr>
            <w:r>
              <w:t xml:space="preserve">33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84 h</w:t>
            </w:r>
          </w:p>
        </w:tc>
        <w:tc>
          <w:tcPr>
            <w:tcW w:w="0" w:type="auto"/>
          </w:tcPr>
          <w:p>
            <w:pPr>
              <w:spacing w:before="20" w:after="20"/>
            </w:pPr>
            <w:r>
              <w:t xml:space="preserve">34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336 h</w:t>
            </w:r>
          </w:p>
        </w:tc>
        <w:tc>
          <w:tcPr>
            <w:tcW w:w="0" w:type="auto"/>
          </w:tcPr>
          <w:p>
            <w:pPr>
              <w:spacing w:before="20" w:after="20"/>
            </w:pPr>
            <w:r>
              <w:rPr>
                <w:b/>
              </w:rPr>
              <w:t xml:space="preserve">133 pts</w:t>
            </w:r>
          </w:p>
        </w:tc>
        <w:tc>
          <w:tcPr>
            <w:tcW w:w="0" w:type="auto"/>
          </w:tcPr>
          <w:p>
            <w:pPr>
              <w:spacing w:before="20" w:after="20"/>
            </w:pPr>
            <w:r>
              <w:t/>
            </w:r>
          </w:p>
        </w:tc>
      </w:tr>
    </w:tbl>
    <w:p>
      <w:r>
        <w:t/>
      </w:r>
    </w:p>
    <w:p>
      <w:r>
        <w:t xml:space="preserve">Las 336 horas brutas equivalen a 269 horas efectivas tras el factor de carga; las 67 horas restantes son las que absorben coordinación, revisión e imprevistos.</w:t>
      </w:r>
    </w:p>
    <w:p>
      <w:pPr>
        <w:pStyle w:val="Heading2"/>
      </w:pPr>
      <w:r>
        <w:t xml:space="preserve">3. Capacidad de la fase de construcción y compromiso del backlog</w:t>
      </w:r>
    </w:p>
    <w:p>
      <w:r>
        <w:t xml:space="preserve">La fase de construcción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 la fase de construcción</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 la fase de construcción</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el tablero.</w:t>
      </w:r>
    </w:p>
    <w:p>
      <w:pPr>
        <w:pStyle w:val="Heading2"/>
      </w:pPr>
      <w:r>
        <w:t xml:space="preserve">4. Distribución por sprint de la fase de construcción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tokenización y consentimientos. Autenticación web completa</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del scoring y tolerancia a fallos</w:t>
            </w:r>
          </w:p>
        </w:tc>
        <w:tc>
          <w:tcPr>
            <w:tcW w:w="0" w:type="auto"/>
          </w:tcPr>
          <w:p>
            <w:pPr>
              <w:spacing w:before="20" w:after="20"/>
            </w:pPr>
            <w:r>
              <w:t xml:space="preserve">9</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Parametrización, pasarelas, integridad y sincronización offline</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Cada sprint se llena hasta su capacidad exacta. El detalle historia por historia está en el tablero: filtrando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o </w:t>
      </w:r>
      <w:r>
        <w:rPr>
          <w:rFonts w:ascii="Consolas" w:hAnsi="Consolas"/>
          <w:sz w:val="18"/>
          <w:color w:val="B03A2E"/>
        </w:rPr>
        <w:t xml:space="preserve">sprint-3</w:t>
      </w:r>
      <w:r>
        <w:t xml:space="preserve"> se obtiene el contenido de cada uno, y por </w:t>
      </w:r>
      <w:r>
        <w:rPr>
          <w:rFonts w:ascii="Consolas" w:hAnsi="Consolas"/>
          <w:sz w:val="18"/>
          <w:color w:val="B03A2E"/>
        </w:rPr>
        <w:t xml:space="preserve">valvula-escape</w:t>
      </w:r>
      <w:r>
        <w:t xml:space="preserve"> las siete historias declaradas en §5.</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2"/>
      </w:pPr>
      <w:r>
        <w:t xml:space="preserve">5. Margen para atrasos: sensibilidad de la velocidad y válvula de escape</w:t>
      </w:r>
    </w:p>
    <w:p>
      <w:r>
        <w:t xml:space="preserve">Los 133 puntos comprometidos equivalen a la capacidad completa del equipo. Eso significa que </w:t>
      </w:r>
      <w:r>
        <w:rPr>
          <w:b/>
        </w:rPr>
        <w:t xml:space="preserve">no hay holgura por construcción</w:t>
      </w:r>
      <w:r>
        <w:t xml:space="preserve">, y conviene ser explícito sobre qué protege ese plan y qué no.</w:t>
      </w:r>
    </w:p>
    <w:p>
      <w:r>
        <w:rPr>
          <w:b/>
        </w:rPr>
        <w:t xml:space="preserve">Lo que el factor de carga sí cubre.</w:t>
      </w:r>
      <w:r>
        <w:t xml:space="preserve"> El descuento del 20 % aplicado en §2 absorbe el trabajo conocido que no produce historias terminadas: ceremonias, coordinación y revisión entre pares. Sobre las siete semanas son unos 38 puntos de esfuerzo ya descontados. Pero eso es </w:t>
      </w:r>
      <w:r>
        <w:rPr>
          <w:b/>
        </w:rPr>
        <w:t xml:space="preserve">overhead previsible</w:t>
      </w:r>
      <w:r>
        <w:t xml:space="preserve">, no reserva para lo imprevisto.</w:t>
      </w:r>
    </w:p>
    <w:p>
      <w:r>
        <w:rPr>
          <w:b/>
        </w:rPr>
        <w:t xml:space="preserve">Lo que no cubre.</w:t>
      </w:r>
      <w:r>
        <w:t xml:space="preserve"> La velocidad de 19 puntos por semana descansa en dos supuestos que el equipo todavía no ha medido: que un punto de historia equivale a dos horas, y que el factor de carga real es del 80 %. Si cualquiera se corre, la capacidad cae: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Escenario</w:t>
            </w:r>
          </w:p>
        </w:tc>
        <w:tc>
          <w:tcPr>
            <w:tcW w:w="0" w:type="auto"/>
            <w:shd w:val="clear" w:fill="EDF2F7"/>
          </w:tcPr>
          <w:p>
            <w:pPr>
              <w:spacing w:before="20" w:after="20"/>
            </w:pPr>
            <w:r>
              <w:rPr>
                <w:b/>
              </w:rPr>
              <w:t xml:space="preserve">Supuestos</w:t>
            </w:r>
          </w:p>
        </w:tc>
        <w:tc>
          <w:tcPr>
            <w:tcW w:w="0" w:type="auto"/>
            <w:shd w:val="clear" w:fill="EDF2F7"/>
          </w:tcPr>
          <w:p>
            <w:pPr>
              <w:spacing w:before="20" w:after="20"/>
            </w:pPr>
            <w:r>
              <w:rPr>
                <w:b/>
              </w:rPr>
              <w:t xml:space="preserve">Velocidad</w:t>
            </w:r>
          </w:p>
        </w:tc>
        <w:tc>
          <w:tcPr>
            <w:tcW w:w="0" w:type="auto"/>
            <w:shd w:val="clear" w:fill="EDF2F7"/>
          </w:tcPr>
          <w:p>
            <w:pPr>
              <w:spacing w:before="20" w:after="20"/>
            </w:pPr>
            <w:r>
              <w:rPr>
                <w:b/>
              </w:rPr>
              <w:t xml:space="preserve">Capacidad en 7 semanas</w:t>
            </w:r>
          </w:p>
        </w:tc>
      </w:tr>
      <w:tr>
        <w:tc>
          <w:tcPr>
            <w:tcW w:w="0" w:type="auto"/>
          </w:tcPr>
          <w:p>
            <w:pPr>
              <w:spacing w:before="20" w:after="20"/>
            </w:pPr>
            <w:r>
              <w:rPr>
                <w:b/>
              </w:rPr>
              <w:t xml:space="preserve">A</w:t>
            </w:r>
            <w:r>
              <w:t xml:space="preserve"> — el plan actual</w:t>
            </w:r>
          </w:p>
        </w:tc>
        <w:tc>
          <w:tcPr>
            <w:tcW w:w="0" w:type="auto"/>
          </w:tcPr>
          <w:p>
            <w:pPr>
              <w:spacing w:before="20" w:after="20"/>
            </w:pPr>
            <w:r>
              <w:t xml:space="preserve">2 h/SP · factor 80 %</w:t>
            </w:r>
          </w:p>
        </w:tc>
        <w:tc>
          <w:tcPr>
            <w:tcW w:w="0" w:type="auto"/>
          </w:tcPr>
          <w:p>
            <w:pPr>
              <w:spacing w:before="20" w:after="20"/>
            </w:pPr>
            <w:r>
              <w:t xml:space="preserve">19 SP/semana</w:t>
            </w:r>
          </w:p>
        </w:tc>
        <w:tc>
          <w:tcPr>
            <w:tcW w:w="0" w:type="auto"/>
          </w:tcPr>
          <w:p>
            <w:pPr>
              <w:spacing w:before="20" w:after="20"/>
            </w:pPr>
            <w:r>
              <w:rPr>
                <w:b/>
              </w:rPr>
              <w:t xml:space="preserve">133 SP</w:t>
            </w:r>
          </w:p>
        </w:tc>
      </w:tr>
      <w:tr>
        <w:tc>
          <w:tcPr>
            <w:tcW w:w="0" w:type="auto"/>
          </w:tcPr>
          <w:p>
            <w:pPr>
              <w:spacing w:before="20" w:after="20"/>
            </w:pPr>
            <w:r>
              <w:rPr>
                <w:b/>
              </w:rPr>
              <w:t xml:space="preserve">B</w:t>
            </w:r>
            <w:r>
              <w:t xml:space="preserve"> — factor más conservador</w:t>
            </w:r>
          </w:p>
        </w:tc>
        <w:tc>
          <w:tcPr>
            <w:tcW w:w="0" w:type="auto"/>
          </w:tcPr>
          <w:p>
            <w:pPr>
              <w:spacing w:before="20" w:after="20"/>
            </w:pPr>
            <w:r>
              <w:t xml:space="preserve">2 h/SP · factor 70 %</w:t>
            </w:r>
          </w:p>
        </w:tc>
        <w:tc>
          <w:tcPr>
            <w:tcW w:w="0" w:type="auto"/>
          </w:tcPr>
          <w:p>
            <w:pPr>
              <w:spacing w:before="20" w:after="20"/>
            </w:pPr>
            <w:r>
              <w:t xml:space="preserve">17 SP/semana</w:t>
            </w:r>
          </w:p>
        </w:tc>
        <w:tc>
          <w:tcPr>
            <w:tcW w:w="0" w:type="auto"/>
          </w:tcPr>
          <w:p>
            <w:pPr>
              <w:spacing w:before="20" w:after="20"/>
            </w:pPr>
            <w:r>
              <w:t xml:space="preserve">119 SP</w:t>
            </w:r>
          </w:p>
        </w:tc>
      </w:tr>
      <w:tr>
        <w:tc>
          <w:tcPr>
            <w:tcW w:w="0" w:type="auto"/>
          </w:tcPr>
          <w:p>
            <w:pPr>
              <w:spacing w:before="20" w:after="20"/>
            </w:pPr>
            <w:r>
              <w:rPr>
                <w:b/>
              </w:rPr>
              <w:t xml:space="preserve">C</w:t>
            </w:r>
            <w:r>
              <w:t xml:space="preserve"> — subestimamos el tamaño</w:t>
            </w:r>
          </w:p>
        </w:tc>
        <w:tc>
          <w:tcPr>
            <w:tcW w:w="0" w:type="auto"/>
          </w:tcPr>
          <w:p>
            <w:pPr>
              <w:spacing w:before="20" w:after="20"/>
            </w:pPr>
            <w:r>
              <w:t xml:space="preserve">2,5 h/SP · factor 80 %</w:t>
            </w:r>
          </w:p>
        </w:tc>
        <w:tc>
          <w:tcPr>
            <w:tcW w:w="0" w:type="auto"/>
          </w:tcPr>
          <w:p>
            <w:pPr>
              <w:spacing w:before="20" w:after="20"/>
            </w:pPr>
            <w:r>
              <w:t xml:space="preserve">15 SP/semana</w:t>
            </w:r>
          </w:p>
        </w:tc>
        <w:tc>
          <w:tcPr>
            <w:tcW w:w="0" w:type="auto"/>
          </w:tcPr>
          <w:p>
            <w:pPr>
              <w:spacing w:before="20" w:after="20"/>
            </w:pPr>
            <w:r>
              <w:t xml:space="preserve">107 SP</w:t>
            </w:r>
          </w:p>
        </w:tc>
      </w:tr>
      <w:tr>
        <w:tc>
          <w:tcPr>
            <w:tcW w:w="0" w:type="auto"/>
          </w:tcPr>
          <w:p>
            <w:pPr>
              <w:spacing w:before="20" w:after="20"/>
            </w:pPr>
            <w:r>
              <w:rPr>
                <w:b/>
              </w:rPr>
              <w:t xml:space="preserve">D</w:t>
            </w:r>
            <w:r>
              <w:t xml:space="preserve"> — ambos a la vez</w:t>
            </w:r>
          </w:p>
        </w:tc>
        <w:tc>
          <w:tcPr>
            <w:tcW w:w="0" w:type="auto"/>
          </w:tcPr>
          <w:p>
            <w:pPr>
              <w:spacing w:before="20" w:after="20"/>
            </w:pPr>
            <w:r>
              <w:t xml:space="preserve">2,5 h/SP · factor 70 %</w:t>
            </w:r>
          </w:p>
        </w:tc>
        <w:tc>
          <w:tcPr>
            <w:tcW w:w="0" w:type="auto"/>
          </w:tcPr>
          <w:p>
            <w:pPr>
              <w:spacing w:before="20" w:after="20"/>
            </w:pPr>
            <w:r>
              <w:t xml:space="preserve">13 SP/semana</w:t>
            </w:r>
          </w:p>
        </w:tc>
        <w:tc>
          <w:tcPr>
            <w:tcW w:w="0" w:type="auto"/>
          </w:tcPr>
          <w:p>
            <w:pPr>
              <w:spacing w:before="20" w:after="20"/>
            </w:pPr>
            <w:r>
              <w:rPr>
                <w:b/>
              </w:rPr>
              <w:t xml:space="preserve">94 SP</w:t>
            </w:r>
          </w:p>
        </w:tc>
      </w:tr>
    </w:tbl>
    <w:p>
      <w:r>
        <w:t/>
      </w:r>
    </w:p>
    <w:p>
      <w:r>
        <w:t xml:space="preserve">El compromiso de 133 puntos corresponde al escenario A, que es el más favorable de los cuatro. Tres factores empujan hacia abajo: tres tecnologías con familiaridad baja declarada por el equipo —bus de eventos, gestión de llaves y almacenamiento inmutable—, el rendimiento típicamente menor del primer sprint mientras se montan entornos, y el tamaño de las dos historias de arquitectura de 13 puntos.</w:t>
      </w:r>
    </w:p>
    <w:p>
      <w:r>
        <w:rPr>
          <w:b/>
        </w:rPr>
        <w:t xml:space="preserve">La válvula de escape.</w:t>
      </w:r>
      <w:r>
        <w:t xml:space="preserve"> En lugar de descubrir el desvío a mitad del Sprint 3, el equipo declara </w:t>
      </w:r>
      <w:r>
        <w:rPr>
          <w:b/>
        </w:rPr>
        <w:t xml:space="preserve">desde ahora</w:t>
      </w:r>
      <w:r>
        <w:t xml:space="preserve"> qué historias salen primero si la velocidad medida resulta menor que la estimada. Son 18 puntos, el 13,5 % del compromiso, elegidas porque su ausencia degrada la experiencia sin romper ningún recorrido crítico ni dejar un ASR sin cobertura: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Orden de corte</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SP</w:t>
            </w:r>
          </w:p>
        </w:tc>
        <w:tc>
          <w:tcPr>
            <w:tcW w:w="0" w:type="auto"/>
            <w:shd w:val="clear" w:fill="EDF2F7"/>
          </w:tcPr>
          <w:p>
            <w:pPr>
              <w:spacing w:before="20" w:after="20"/>
            </w:pPr>
            <w:r>
              <w:rPr>
                <w:b/>
              </w:rPr>
              <w:t xml:space="preserve">Qué se pierde si sale</w:t>
            </w:r>
          </w:p>
        </w:tc>
      </w:tr>
      <w:tr>
        <w:tc>
          <w:tcPr>
            <w:tcW w:w="0" w:type="auto"/>
          </w:tcPr>
          <w:p>
            <w:pPr>
              <w:spacing w:before="20" w:after="20"/>
            </w:pPr>
            <w:r>
              <w:t xml:space="preserve">1</w:t>
            </w:r>
          </w:p>
        </w:tc>
        <w:tc>
          <w:tcPr>
            <w:tcW w:w="0" w:type="auto"/>
          </w:tcPr>
          <w:p>
            <w:pPr>
              <w:spacing w:before="20" w:after="20"/>
            </w:pPr>
            <w:r>
              <w:t xml:space="preserve">FE-01.5 Comparar planes de cobertura</w:t>
            </w:r>
          </w:p>
        </w:tc>
        <w:tc>
          <w:tcPr>
            <w:tcW w:w="0" w:type="auto"/>
          </w:tcPr>
          <w:p>
            <w:pPr>
              <w:spacing w:before="20" w:after="20"/>
            </w:pPr>
            <w:r>
              <w:t xml:space="preserve">3</w:t>
            </w:r>
          </w:p>
        </w:tc>
        <w:tc>
          <w:tcPr>
            <w:tcW w:w="0" w:type="auto"/>
          </w:tcPr>
          <w:p>
            <w:pPr>
              <w:spacing w:before="20" w:after="20"/>
            </w:pPr>
            <w:r>
              <w:t xml:space="preserve">El cliente ve una sola opción de cobertura en lugar de tres; el recorrido de cotización sigue completo</w:t>
            </w:r>
          </w:p>
        </w:tc>
      </w:tr>
      <w:tr>
        <w:tc>
          <w:tcPr>
            <w:tcW w:w="0" w:type="auto"/>
          </w:tcPr>
          <w:p>
            <w:pPr>
              <w:spacing w:before="20" w:after="20"/>
            </w:pPr>
            <w:r>
              <w:t xml:space="preserve">2</w:t>
            </w:r>
          </w:p>
        </w:tc>
        <w:tc>
          <w:tcPr>
            <w:tcW w:w="0" w:type="auto"/>
          </w:tcPr>
          <w:p>
            <w:pPr>
              <w:spacing w:before="20" w:after="20"/>
            </w:pPr>
            <w:r>
              <w:t xml:space="preserve">FE-10.4 Cerrar sesión y expirar por inactividad</w:t>
            </w:r>
          </w:p>
        </w:tc>
        <w:tc>
          <w:tcPr>
            <w:tcW w:w="0" w:type="auto"/>
          </w:tcPr>
          <w:p>
            <w:pPr>
              <w:spacing w:before="20" w:after="20"/>
            </w:pPr>
            <w:r>
              <w:t xml:space="preserve">2</w:t>
            </w:r>
          </w:p>
        </w:tc>
        <w:tc>
          <w:tcPr>
            <w:tcW w:w="0" w:type="auto"/>
          </w:tcPr>
          <w:p>
            <w:pPr>
              <w:spacing w:before="20" w:after="20"/>
            </w:pPr>
            <w:r>
              <w:t xml:space="preserve">La sesión expira solo del lado del navegador; el ingreso sigue protegido</w:t>
            </w:r>
          </w:p>
        </w:tc>
      </w:tr>
      <w:tr>
        <w:tc>
          <w:tcPr>
            <w:tcW w:w="0" w:type="auto"/>
          </w:tcPr>
          <w:p>
            <w:pPr>
              <w:spacing w:before="20" w:after="20"/>
            </w:pPr>
            <w:r>
              <w:t xml:space="preserve">3</w:t>
            </w:r>
          </w:p>
        </w:tc>
        <w:tc>
          <w:tcPr>
            <w:tcW w:w="0" w:type="auto"/>
          </w:tcPr>
          <w:p>
            <w:pPr>
              <w:spacing w:before="20" w:after="20"/>
            </w:pPr>
            <w:r>
              <w:t xml:space="preserve">FE-01.6 Guardar y recuperar cotización</w:t>
            </w:r>
          </w:p>
        </w:tc>
        <w:tc>
          <w:tcPr>
            <w:tcW w:w="0" w:type="auto"/>
          </w:tcPr>
          <w:p>
            <w:pPr>
              <w:spacing w:before="20" w:after="20"/>
            </w:pPr>
            <w:r>
              <w:t xml:space="preserve">2</w:t>
            </w:r>
          </w:p>
        </w:tc>
        <w:tc>
          <w:tcPr>
            <w:tcW w:w="0" w:type="auto"/>
          </w:tcPr>
          <w:p>
            <w:pPr>
              <w:spacing w:before="20" w:after="20"/>
            </w:pPr>
            <w:r>
              <w:t xml:space="preserve">La cotización no se puede retomar más tarde; se recotiza</w:t>
            </w:r>
          </w:p>
        </w:tc>
      </w:tr>
      <w:tr>
        <w:tc>
          <w:tcPr>
            <w:tcW w:w="0" w:type="auto"/>
          </w:tcPr>
          <w:p>
            <w:pPr>
              <w:spacing w:before="20" w:after="20"/>
            </w:pPr>
            <w:r>
              <w:t xml:space="preserve">4</w:t>
            </w:r>
          </w:p>
        </w:tc>
        <w:tc>
          <w:tcPr>
            <w:tcW w:w="0" w:type="auto"/>
          </w:tcPr>
          <w:p>
            <w:pPr>
              <w:spacing w:before="20" w:after="20"/>
            </w:pPr>
            <w:r>
              <w:t xml:space="preserve">FE-10.3 Recuperar el acceso a la cuenta</w:t>
            </w:r>
          </w:p>
        </w:tc>
        <w:tc>
          <w:tcPr>
            <w:tcW w:w="0" w:type="auto"/>
          </w:tcPr>
          <w:p>
            <w:pPr>
              <w:spacing w:before="20" w:after="20"/>
            </w:pPr>
            <w:r>
              <w:t xml:space="preserve">2</w:t>
            </w:r>
          </w:p>
        </w:tc>
        <w:tc>
          <w:tcPr>
            <w:tcW w:w="0" w:type="auto"/>
          </w:tcPr>
          <w:p>
            <w:pPr>
              <w:spacing w:before="20" w:after="20"/>
            </w:pPr>
            <w:r>
              <w:t xml:space="preserve">El restablecimiento de contraseña pasa a soporte manual</w:t>
            </w:r>
          </w:p>
        </w:tc>
      </w:tr>
      <w:tr>
        <w:tc>
          <w:tcPr>
            <w:tcW w:w="0" w:type="auto"/>
          </w:tcPr>
          <w:p>
            <w:pPr>
              <w:spacing w:before="20" w:after="20"/>
            </w:pPr>
            <w:r>
              <w:t xml:space="preserve">5</w:t>
            </w:r>
          </w:p>
        </w:tc>
        <w:tc>
          <w:tcPr>
            <w:tcW w:w="0" w:type="auto"/>
          </w:tcPr>
          <w:p>
            <w:pPr>
              <w:spacing w:before="20" w:after="20"/>
            </w:pPr>
            <w:r>
              <w:t xml:space="preserve">FE-05.5 Iniciar sesión con biometría del dispositivo</w:t>
            </w:r>
          </w:p>
        </w:tc>
        <w:tc>
          <w:tcPr>
            <w:tcW w:w="0" w:type="auto"/>
          </w:tcPr>
          <w:p>
            <w:pPr>
              <w:spacing w:before="20" w:after="20"/>
            </w:pPr>
            <w:r>
              <w:t xml:space="preserve">3</w:t>
            </w:r>
          </w:p>
        </w:tc>
        <w:tc>
          <w:tcPr>
            <w:tcW w:w="0" w:type="auto"/>
          </w:tcPr>
          <w:p>
            <w:pPr>
              <w:spacing w:before="20" w:after="20"/>
            </w:pPr>
            <w:r>
              <w:t xml:space="preserve">El acceso móvil queda solo con contraseña; el onboarding biométrico no se toca</w:t>
            </w:r>
          </w:p>
        </w:tc>
      </w:tr>
      <w:tr>
        <w:tc>
          <w:tcPr>
            <w:tcW w:w="0" w:type="auto"/>
          </w:tcPr>
          <w:p>
            <w:pPr>
              <w:spacing w:before="20" w:after="20"/>
            </w:pPr>
            <w:r>
              <w:t xml:space="preserve">6</w:t>
            </w:r>
          </w:p>
        </w:tc>
        <w:tc>
          <w:tcPr>
            <w:tcW w:w="0" w:type="auto"/>
          </w:tcPr>
          <w:p>
            <w:pPr>
              <w:spacing w:before="20" w:after="20"/>
            </w:pPr>
            <w:r>
              <w:t xml:space="preserve">FE-06.4 Sincronizar al recuperar conectividad</w:t>
            </w:r>
          </w:p>
        </w:tc>
        <w:tc>
          <w:tcPr>
            <w:tcW w:w="0" w:type="auto"/>
          </w:tcPr>
          <w:p>
            <w:pPr>
              <w:spacing w:before="20" w:after="20"/>
            </w:pPr>
            <w:r>
              <w:t xml:space="preserve">3</w:t>
            </w:r>
          </w:p>
        </w:tc>
        <w:tc>
          <w:tcPr>
            <w:tcW w:w="0" w:type="auto"/>
          </w:tcPr>
          <w:p>
            <w:pPr>
              <w:spacing w:before="20" w:after="20"/>
            </w:pPr>
            <w:r>
              <w:t xml:space="preserve">La sincronización pasa a ser manual; la consulta sin conexión del ASR-3.3 se conserva</w:t>
            </w:r>
          </w:p>
        </w:tc>
      </w:tr>
      <w:tr>
        <w:tc>
          <w:tcPr>
            <w:tcW w:w="0" w:type="auto"/>
          </w:tcPr>
          <w:p>
            <w:pPr>
              <w:spacing w:before="20" w:after="20"/>
            </w:pPr>
            <w:r>
              <w:t xml:space="preserve">7</w:t>
            </w:r>
          </w:p>
        </w:tc>
        <w:tc>
          <w:tcPr>
            <w:tcW w:w="0" w:type="auto"/>
          </w:tcPr>
          <w:p>
            <w:pPr>
              <w:spacing w:before="20" w:after="20"/>
            </w:pPr>
            <w:r>
              <w:t xml:space="preserve">FE-02.3 Firmar electrónicamente la solicitud</w:t>
            </w:r>
          </w:p>
        </w:tc>
        <w:tc>
          <w:tcPr>
            <w:tcW w:w="0" w:type="auto"/>
          </w:tcPr>
          <w:p>
            <w:pPr>
              <w:spacing w:before="20" w:after="20"/>
            </w:pPr>
            <w:r>
              <w:t xml:space="preserve">3</w:t>
            </w:r>
          </w:p>
        </w:tc>
        <w:tc>
          <w:tcPr>
            <w:tcW w:w="0" w:type="auto"/>
          </w:tcPr>
          <w:p>
            <w:pPr>
              <w:spacing w:before="20" w:after="20"/>
            </w:pPr>
            <w:r>
              <w:t xml:space="preserve">La firma se simula en el prototipo; la emisión y su firma digital se conservan</w:t>
            </w:r>
          </w:p>
        </w:tc>
      </w:tr>
      <w:tr>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18</w:t>
            </w:r>
          </w:p>
        </w:tc>
        <w:tc>
          <w:tcPr>
            <w:tcW w:w="0" w:type="auto"/>
          </w:tcPr>
          <w:p>
            <w:pPr>
              <w:spacing w:before="20" w:after="20"/>
            </w:pPr>
            <w:r>
              <w:t/>
            </w:r>
          </w:p>
        </w:tc>
      </w:tr>
    </w:tbl>
    <w:p>
      <w:r>
        <w:t/>
      </w:r>
    </w:p>
    <w:p>
      <w:r>
        <w:t xml:space="preserve">Ninguna de las siete es prerrequisito de otra historia comprometida, y ninguna deja un escenario de calidad sin mecanismo. Se cortan </w:t>
      </w:r>
      <w:r>
        <w:rPr>
          <w:b/>
        </w:rPr>
        <w:t xml:space="preserve">en ese orden</w:t>
      </w:r>
      <w:r>
        <w:t xml:space="preserve">, no por conveniencia del momento.</w:t>
      </w:r>
    </w:p>
    <w:p>
      <w:r>
        <w:rPr>
          <w:b/>
        </w:rPr>
        <w:t xml:space="preserve">Punto de recalibración obligatorio.</w:t>
      </w:r>
      <w:r>
        <w:t xml:space="preserve"> Al cerrar el Sprint 1 el equipo tendrá por primera vez velocidad </w:t>
      </w:r>
      <w:r>
        <w:rPr>
          <w:i/>
        </w:rPr>
        <w:t xml:space="preserve">medida</w:t>
      </w:r>
      <w:r>
        <w:t xml:space="preserve"> en lugar de estimada. Ese es el momento de revisar la equivalencia de dos horas por punto y el factor de carga, y de decidir si se activa la válvula. La regla que el equipo adopta:</w:t>
      </w:r>
    </w:p>
    <w:p>
      <w:pPr>
        <w:pStyle w:val="Code"/>
      </w:pPr>
      <w:r>
        <w:t xml:space="preserve">Si la velocidad medida del Sprint 1  &lt;  16 SP/semana</w:t>
      </w:r>
    </w:p>
    <w:p>
      <w:pPr>
        <w:pStyle w:val="Code"/>
      </w:pPr>
      <w:r>
        <w:t xml:space="preserve">   →  se activa la válvula de escape en el orden declarado</w:t>
      </w:r>
    </w:p>
    <w:p>
      <w:pPr>
        <w:pStyle w:val="Code"/>
      </w:pPr>
      <w:r>
        <w:t xml:space="preserve">   →  se recalcula el compromiso de los Sprints 2 y 3 con la velocidad real</w:t>
      </w:r>
    </w:p>
    <w:p>
      <w:r>
        <w:t/>
      </w:r>
    </w:p>
    <w:p>
      <w:r>
        <w:t xml:space="preserve">Este mecanismo es la respuesta concreta al riesgo de sobrecompromiso que suele aparecer en la fase de construcción: ese riesgo no se elimina declarando que no existe, sino decidiendo de antemano qué se sacrifica y con qué criterio.</w:t>
      </w:r>
    </w:p>
    <w:p>
      <w:pPr>
        <w:pStyle w:val="Heading2"/>
      </w:pPr>
      <w:r>
        <w:t xml:space="preserve">6. Viabilidad: ¿es construible esta arquitectura?</w:t>
      </w:r>
    </w:p>
    <w:p>
      <w:r>
        <w:t xml:space="preserve">La arquitectura definida en la fase de diseño no es un documento que se archiva: es el compromiso que el equipo debe cumplir en la fase de construcción, y la revisión de arquitectura validará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la fase de construcción</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presupuesto de esta fase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la experiencia del equipo identifica como principales causas de retraso. Por eso el onboarding móvil y la billetera entran en el Sprint 3, con las tres semanas de mayor holgura, y por eso la estrategia de pruebas se revisa en cada entrega en lugar de darse por cerrada.</w:t>
      </w:r>
    </w:p>
    <w:p>
      <w:pPr>
        <w:pStyle w:val="Heading2"/>
      </w:pPr>
      <w:r>
        <w:t xml:space="preserve">7. Calendario de la fase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Periodo</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17–23 ago</w:t>
            </w:r>
          </w:p>
        </w:tc>
        <w:tc>
          <w:tcPr>
            <w:tcW w:w="0" w:type="auto"/>
          </w:tcPr>
          <w:p>
            <w:pPr>
              <w:spacing w:before="20" w:after="20"/>
            </w:pPr>
            <w:r>
              <w:t xml:space="preserve">Escenarios de calidad, backlog de historias y definición de frameworks</w:t>
            </w:r>
          </w:p>
        </w:tc>
        <w:tc>
          <w:tcPr>
            <w:tcW w:w="0" w:type="auto"/>
          </w:tcPr>
          <w:p>
            <w:pPr>
              <w:spacing w:before="20" w:after="20"/>
            </w:pPr>
            <w:r>
              <w:t xml:space="preserve">Completada</w:t>
            </w:r>
          </w:p>
        </w:tc>
      </w:tr>
      <w:tr>
        <w:tc>
          <w:tcPr>
            <w:tcW w:w="0" w:type="auto"/>
          </w:tcPr>
          <w:p>
            <w:pPr>
              <w:spacing w:before="20" w:after="20"/>
            </w:pPr>
            <w:r>
              <w:t xml:space="preserve">24–30 ago</w:t>
            </w:r>
          </w:p>
        </w:tc>
        <w:tc>
          <w:tcPr>
            <w:tcW w:w="0" w:type="auto"/>
          </w:tcPr>
          <w:p>
            <w:pPr>
              <w:spacing w:before="20" w:after="20"/>
            </w:pPr>
            <w:r>
              <w:t xml:space="preserve">Arquitectura detallada y diseño de experimentos</w:t>
            </w:r>
          </w:p>
        </w:tc>
        <w:tc>
          <w:tcPr>
            <w:tcW w:w="0" w:type="auto"/>
          </w:tcPr>
          <w:p>
            <w:pPr>
              <w:spacing w:before="20" w:after="20"/>
            </w:pPr>
            <w:r>
              <w:t xml:space="preserve">En curso</w:t>
            </w:r>
          </w:p>
        </w:tc>
      </w:tr>
      <w:tr>
        <w:tc>
          <w:tcPr>
            <w:tcW w:w="0" w:type="auto"/>
          </w:tcPr>
          <w:p>
            <w:pPr>
              <w:spacing w:before="20" w:after="20"/>
            </w:pPr>
            <w:r>
              <w:t xml:space="preserve">31 ago – 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Heading2"/>
      </w:pPr>
      <w:r>
        <w:t xml:space="preserve">8.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bl>
    <w:p>
      <w:r>
        <w:t/>
      </w:r>
    </w:p>
    <w:p>
      <w:pPr>
        <w:pStyle w:val="Heading2"/>
      </w:pPr>
      <w:r>
        <w:t xml:space="preserve">9.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2"/>
      </w:pPr>
      <w:r>
        <w:t xml:space="preserve">10.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rPr>
                <w:b/>
              </w:rPr>
              <w:t xml:space="preserve">Importancia intrínseca</w:t>
            </w:r>
            <w:r>
              <w:t xml:space="preserve"> de la historia, que es el criterio con que se hizo el corte de alcance de §3</w:t>
            </w:r>
          </w:p>
        </w:tc>
      </w:tr>
      <w:tr>
        <w:tc>
          <w:tcPr>
            <w:tcW w:w="0" w:type="auto"/>
          </w:tcPr>
          <w:p>
            <w:pPr>
              <w:spacing w:before="20" w:after="20"/>
            </w:pPr>
            <w:r>
              <w:rPr>
                <w:rFonts w:ascii="Consolas" w:hAnsi="Consolas"/>
                <w:sz w:val="18"/>
                <w:color w:val="B03A2E"/>
              </w:rPr>
              <w:t xml:space="preserve">sprint-1</w:t>
            </w:r>
            <w:r>
              <w:t xml:space="preserve"> · </w:t>
            </w:r>
            <w:r>
              <w:rPr>
                <w:rFonts w:ascii="Consolas" w:hAnsi="Consolas"/>
                <w:sz w:val="18"/>
                <w:color w:val="B03A2E"/>
              </w:rPr>
              <w:t xml:space="preserve">sprint-2</w:t>
            </w:r>
            <w:r>
              <w:t xml:space="preserve"> · </w:t>
            </w:r>
            <w:r>
              <w:rPr>
                <w:rFonts w:ascii="Consolas" w:hAnsi="Consolas"/>
                <w:sz w:val="18"/>
                <w:color w:val="B03A2E"/>
              </w:rPr>
              <w:t xml:space="preserve">sprint-3</w:t>
            </w:r>
          </w:p>
        </w:tc>
        <w:tc>
          <w:tcPr>
            <w:tcW w:w="0" w:type="auto"/>
          </w:tcPr>
          <w:p>
            <w:pPr>
              <w:spacing w:before="20" w:after="20"/>
            </w:pPr>
            <w:r>
              <w:t xml:space="preserve">Sprint de la fase de construcción en que se construye</w:t>
            </w:r>
          </w:p>
        </w:tc>
      </w:tr>
      <w:tr>
        <w:tc>
          <w:tcPr>
            <w:tcW w:w="0" w:type="auto"/>
          </w:tcPr>
          <w:p>
            <w:pPr>
              <w:spacing w:before="20" w:after="20"/>
            </w:pPr>
            <w:r>
              <w:rPr>
                <w:rFonts w:ascii="Consolas" w:hAnsi="Consolas"/>
                <w:sz w:val="18"/>
                <w:color w:val="B03A2E"/>
              </w:rPr>
              <w:t xml:space="preserve">diferido</w:t>
            </w:r>
          </w:p>
        </w:tc>
        <w:tc>
          <w:tcPr>
            <w:tcW w:w="0" w:type="auto"/>
          </w:tcPr>
          <w:p>
            <w:pPr>
              <w:spacing w:before="20" w:after="20"/>
            </w:pPr>
            <w:r>
              <w:t xml:space="preserve">Fuera del alcance comprometido</w:t>
            </w:r>
          </w:p>
        </w:tc>
      </w:tr>
      <w:tr>
        <w:tc>
          <w:tcPr>
            <w:tcW w:w="0" w:type="auto"/>
          </w:tcPr>
          <w:p>
            <w:pPr>
              <w:spacing w:before="20" w:after="20"/>
            </w:pPr>
            <w:r>
              <w:rPr>
                <w:rFonts w:ascii="Consolas" w:hAnsi="Consolas"/>
                <w:sz w:val="18"/>
                <w:color w:val="B03A2E"/>
              </w:rPr>
              <w:t xml:space="preserve">valvula-escape</w:t>
            </w:r>
          </w:p>
        </w:tc>
        <w:tc>
          <w:tcPr>
            <w:tcW w:w="0" w:type="auto"/>
          </w:tcPr>
          <w:p>
            <w:pPr>
              <w:spacing w:before="20" w:after="20"/>
            </w:pPr>
            <w:r>
              <w:t xml:space="preserve">Historia declarada como primera en salir ante un atraso (§5)</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rPr>
          <w:b/>
        </w:rPr>
        <w:t xml:space="preserve">Dos dimensiones distintas, y conviene no confundirlas.</w:t>
      </w:r>
      <w:r>
        <w:t xml:space="preserve"> El campo nativo </w:t>
      </w:r>
      <w:r>
        <w:rPr>
          <w:i/>
        </w:rPr>
        <w:t xml:space="preserve">Prioridad</w:t>
      </w:r>
      <w:r>
        <w:t xml:space="preserve"> de Jira y la etiqueta </w:t>
      </w:r>
      <w:r>
        <w:rPr>
          <w:rFonts w:ascii="Consolas" w:hAnsi="Consolas"/>
          <w:sz w:val="18"/>
          <w:color w:val="B03A2E"/>
        </w:rPr>
        <w:t xml:space="preserve">prioridad-*</w:t>
      </w:r>
      <w:r>
        <w:t xml:space="preserve"> no significan lo mismo, y por eso no siempre coinciden: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t/>
            </w:r>
          </w:p>
        </w:tc>
        <w:tc>
          <w:tcPr>
            <w:tcW w:w="0" w:type="auto"/>
            <w:shd w:val="clear" w:fill="EDF2F7"/>
          </w:tcPr>
          <w:p>
            <w:pPr>
              <w:spacing w:before="20" w:after="20"/>
            </w:pPr>
            <w:r>
              <w:rPr>
                <w:b/>
              </w:rPr>
              <w:t xml:space="preserve">Qué expresa</w:t>
            </w:r>
          </w:p>
        </w:tc>
        <w:tc>
          <w:tcPr>
            <w:tcW w:w="0" w:type="auto"/>
            <w:shd w:val="clear" w:fill="EDF2F7"/>
          </w:tcPr>
          <w:p>
            <w:pPr>
              <w:spacing w:before="20" w:after="20"/>
            </w:pPr>
            <w:r>
              <w:rPr>
                <w:b/>
              </w:rPr>
              <w:t xml:space="preserve">Para qué sirve</w:t>
            </w:r>
          </w:p>
        </w:tc>
      </w:tr>
      <w:tr>
        <w:tc>
          <w:tcPr>
            <w:tcW w:w="0" w:type="auto"/>
          </w:tcPr>
          <w:p>
            <w:pPr>
              <w:spacing w:before="20" w:after="20"/>
            </w:pPr>
            <w:r>
              <w:t xml:space="preserve">Campo nativo </w:t>
            </w:r>
            <w:r>
              <w:rPr>
                <w:b/>
              </w:rPr>
              <w:t xml:space="preserve">Prioridad</w:t>
            </w:r>
          </w:p>
        </w:tc>
        <w:tc>
          <w:tcPr>
            <w:tcW w:w="0" w:type="auto"/>
          </w:tcPr>
          <w:p>
            <w:pPr>
              <w:spacing w:before="20" w:after="20"/>
            </w:pPr>
            <w:r>
              <w:rPr>
                <w:b/>
              </w:rPr>
              <w:t xml:space="preserve">Orden de ejecución</w:t>
            </w:r>
          </w:p>
        </w:tc>
        <w:tc>
          <w:tcPr>
            <w:tcW w:w="0" w:type="auto"/>
          </w:tcPr>
          <w:p>
            <w:pPr>
              <w:spacing w:before="20" w:after="20"/>
            </w:pPr>
            <w:r>
              <w:t xml:space="preserve">Ordenar el backlog reproduce la secuencia real de construcción</w:t>
            </w:r>
          </w:p>
        </w:tc>
      </w:tr>
      <w:tr>
        <w:tc>
          <w:tcPr>
            <w:tcW w:w="0" w:type="auto"/>
          </w:tcPr>
          <w:p>
            <w:pPr>
              <w:spacing w:before="20" w:after="20"/>
            </w:pPr>
            <w:r>
              <w:t xml:space="preserve">Etiqueta </w:t>
            </w:r>
            <w:r>
              <w:rPr>
                <w:rFonts w:ascii="Consolas" w:hAnsi="Consolas"/>
                <w:sz w:val="18"/>
                <w:color w:val="B03A2E"/>
              </w:rPr>
              <w:t xml:space="preserve">prioridad-*</w:t>
            </w:r>
          </w:p>
        </w:tc>
        <w:tc>
          <w:tcPr>
            <w:tcW w:w="0" w:type="auto"/>
          </w:tcPr>
          <w:p>
            <w:pPr>
              <w:spacing w:before="20" w:after="20"/>
            </w:pPr>
            <w:r>
              <w:rPr>
                <w:b/>
              </w:rPr>
              <w:t xml:space="preserve">Importancia intrínseca</w:t>
            </w:r>
          </w:p>
        </w:tc>
        <w:tc>
          <w:tcPr>
            <w:tcW w:w="0" w:type="auto"/>
          </w:tcPr>
          <w:p>
            <w:pPr>
              <w:spacing w:before="20" w:after="20"/>
            </w:pPr>
            <w:r>
              <w:t xml:space="preserve">Es el criterio con que se decidió qué entra y qué se difiere</w:t>
            </w:r>
          </w:p>
        </w:tc>
      </w:tr>
    </w:tbl>
    <w:p>
      <w:r>
        <w:t/>
      </w:r>
    </w:p>
    <w:p>
      <w:r>
        <w:t xml:space="preserve">El campo nativo usa los cinco niveles así:</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Prioridad</w:t>
            </w:r>
          </w:p>
        </w:tc>
        <w:tc>
          <w:tcPr>
            <w:tcW w:w="0" w:type="auto"/>
            <w:shd w:val="clear" w:fill="EDF2F7"/>
          </w:tcPr>
          <w:p>
            <w:pPr>
              <w:spacing w:before="20" w:after="20"/>
            </w:pPr>
            <w:r>
              <w:rPr>
                <w:b/>
              </w:rPr>
              <w:t xml:space="preserve">Agrupa</w:t>
            </w:r>
          </w:p>
        </w:tc>
        <w:tc>
          <w:tcPr>
            <w:tcW w:w="0" w:type="auto"/>
            <w:shd w:val="clear" w:fill="EDF2F7"/>
          </w:tcPr>
          <w:p>
            <w:pPr>
              <w:spacing w:before="20" w:after="20"/>
            </w:pPr>
            <w:r>
              <w:rPr>
                <w:b/>
              </w:rPr>
              <w:t xml:space="preserve">Historias</w:t>
            </w:r>
          </w:p>
        </w:tc>
      </w:tr>
      <w:tr>
        <w:tc>
          <w:tcPr>
            <w:tcW w:w="0" w:type="auto"/>
          </w:tcPr>
          <w:p>
            <w:pPr>
              <w:spacing w:before="20" w:after="20"/>
            </w:pPr>
            <w:r>
              <w:t xml:space="preserve">Highest</w:t>
            </w:r>
          </w:p>
        </w:tc>
        <w:tc>
          <w:tcPr>
            <w:tcW w:w="0" w:type="auto"/>
          </w:tcPr>
          <w:p>
            <w:pPr>
              <w:spacing w:before="20" w:after="20"/>
            </w:pPr>
            <w:r>
              <w:t xml:space="preserve">Sprint 1 — los cimientos de arquitectura y el acceso web</w:t>
            </w:r>
          </w:p>
        </w:tc>
        <w:tc>
          <w:tcPr>
            <w:tcW w:w="0" w:type="auto"/>
          </w:tcPr>
          <w:p>
            <w:pPr>
              <w:spacing w:before="20" w:after="20"/>
            </w:pPr>
            <w:r>
              <w:t xml:space="preserve">9</w:t>
            </w:r>
          </w:p>
        </w:tc>
      </w:tr>
      <w:tr>
        <w:tc>
          <w:tcPr>
            <w:tcW w:w="0" w:type="auto"/>
          </w:tcPr>
          <w:p>
            <w:pPr>
              <w:spacing w:before="20" w:after="20"/>
            </w:pPr>
            <w:r>
              <w:t xml:space="preserve">High</w:t>
            </w:r>
          </w:p>
        </w:tc>
        <w:tc>
          <w:tcPr>
            <w:tcW w:w="0" w:type="auto"/>
          </w:tcPr>
          <w:p>
            <w:pPr>
              <w:spacing w:before="20" w:after="20"/>
            </w:pPr>
            <w:r>
              <w:t xml:space="preserve">Sprint 2 — el recorrido de cotización, latencia y tolerancia a fallos</w:t>
            </w:r>
          </w:p>
        </w:tc>
        <w:tc>
          <w:tcPr>
            <w:tcW w:w="0" w:type="auto"/>
          </w:tcPr>
          <w:p>
            <w:pPr>
              <w:spacing w:before="20" w:after="20"/>
            </w:pPr>
            <w:r>
              <w:t xml:space="preserve">9</w:t>
            </w:r>
          </w:p>
        </w:tc>
      </w:tr>
      <w:tr>
        <w:tc>
          <w:tcPr>
            <w:tcW w:w="0" w:type="auto"/>
          </w:tcPr>
          <w:p>
            <w:pPr>
              <w:spacing w:before="20" w:after="20"/>
            </w:pPr>
            <w:r>
              <w:t xml:space="preserve">Medium</w:t>
            </w:r>
          </w:p>
        </w:tc>
        <w:tc>
          <w:tcPr>
            <w:tcW w:w="0" w:type="auto"/>
          </w:tcPr>
          <w:p>
            <w:pPr>
              <w:spacing w:before="20" w:after="20"/>
            </w:pPr>
            <w:r>
              <w:t xml:space="preserve">Sprint 3 — emisión, pagos y móvil</w:t>
            </w:r>
          </w:p>
        </w:tc>
        <w:tc>
          <w:tcPr>
            <w:tcW w:w="0" w:type="auto"/>
          </w:tcPr>
          <w:p>
            <w:pPr>
              <w:spacing w:before="20" w:after="20"/>
            </w:pPr>
            <w:r>
              <w:t xml:space="preserve">12</w:t>
            </w:r>
          </w:p>
        </w:tc>
      </w:tr>
      <w:tr>
        <w:tc>
          <w:tcPr>
            <w:tcW w:w="0" w:type="auto"/>
          </w:tcPr>
          <w:p>
            <w:pPr>
              <w:spacing w:before="20" w:after="20"/>
            </w:pPr>
            <w:r>
              <w:t xml:space="preserve">Low</w:t>
            </w:r>
          </w:p>
        </w:tc>
        <w:tc>
          <w:tcPr>
            <w:tcW w:w="0" w:type="auto"/>
          </w:tcPr>
          <w:p>
            <w:pPr>
              <w:spacing w:before="20" w:after="20"/>
            </w:pPr>
            <w:r>
              <w:t xml:space="preserve">Diferidas de importancia media</w:t>
            </w:r>
          </w:p>
        </w:tc>
        <w:tc>
          <w:tcPr>
            <w:tcW w:w="0" w:type="auto"/>
          </w:tcPr>
          <w:p>
            <w:pPr>
              <w:spacing w:before="20" w:after="20"/>
            </w:pPr>
            <w:r>
              <w:t xml:space="preserve">16</w:t>
            </w:r>
          </w:p>
        </w:tc>
      </w:tr>
      <w:tr>
        <w:tc>
          <w:tcPr>
            <w:tcW w:w="0" w:type="auto"/>
          </w:tcPr>
          <w:p>
            <w:pPr>
              <w:spacing w:before="20" w:after="20"/>
            </w:pPr>
            <w:r>
              <w:t xml:space="preserve">Lowest</w:t>
            </w:r>
          </w:p>
        </w:tc>
        <w:tc>
          <w:tcPr>
            <w:tcW w:w="0" w:type="auto"/>
          </w:tcPr>
          <w:p>
            <w:pPr>
              <w:spacing w:before="20" w:after="20"/>
            </w:pPr>
            <w:r>
              <w:t xml:space="preserve">Diferidas de importancia baja</w:t>
            </w:r>
          </w:p>
        </w:tc>
        <w:tc>
          <w:tcPr>
            <w:tcW w:w="0" w:type="auto"/>
          </w:tcPr>
          <w:p>
            <w:pPr>
              <w:spacing w:before="20" w:after="20"/>
            </w:pPr>
            <w:r>
              <w:t xml:space="preserve">16</w:t>
            </w:r>
          </w:p>
        </w:tc>
      </w:tr>
    </w:tbl>
    <w:p>
      <w:r>
        <w:t/>
      </w:r>
    </w:p>
    <w:p>
      <w:r>
        <w:t xml:space="preserve">Una historia puede ser importante y aun así quedar en </w:t>
      </w:r>
      <w:r>
        <w:rPr>
          <w:rFonts w:ascii="Consolas" w:hAnsi="Consolas"/>
          <w:sz w:val="18"/>
          <w:color w:val="B03A2E"/>
        </w:rPr>
        <w:t xml:space="preserve">Lowest</w:t>
      </w:r>
      <w:r>
        <w:t xml:space="preserve">: significa que no se construye en el alcance comprometido, no que no importe. Por eso ambas dimensiones se conservan por separado.</w:t>
      </w:r>
    </w:p>
    <w:p>
      <w:r>
        <w:t xml:space="preserve">Para ver el alcance comprometido, filtrar por </w:t>
      </w:r>
      <w:r>
        <w:rPr>
          <w:rFonts w:ascii="Consolas" w:hAnsi="Consolas"/>
          <w:sz w:val="18"/>
          <w:color w:val="B03A2E"/>
        </w:rPr>
        <w:t xml:space="preserve">sprint-1</w:t>
      </w:r>
      <w:r>
        <w:t xml:space="preserve">, </w:t>
      </w:r>
      <w:r>
        <w:rPr>
          <w:rFonts w:ascii="Consolas" w:hAnsi="Consolas"/>
          <w:sz w:val="18"/>
          <w:color w:val="B03A2E"/>
        </w:rPr>
        <w:t xml:space="preserve">sprint-2</w:t>
      </w:r>
      <w:r>
        <w:t xml:space="preserve"> y </w:t>
      </w:r>
      <w:r>
        <w:rPr>
          <w:rFonts w:ascii="Consolas" w:hAnsi="Consolas"/>
          <w:sz w:val="18"/>
          <w:color w:val="B03A2E"/>
        </w:rPr>
        <w:t xml:space="preserve">sprint-3</w:t>
      </w:r>
      <w:r>
        <w:t xml:space="preserve">: devuelve 30 historias y 133 puntos, exactamente el compromiso de §3. Filtrando por </w:t>
      </w:r>
      <w:r>
        <w:rPr>
          <w:rFonts w:ascii="Consolas" w:hAnsi="Consolas"/>
          <w:sz w:val="18"/>
          <w:color w:val="B03A2E"/>
        </w:rPr>
        <w:t xml:space="preserve">diferido</w:t>
      </w:r>
      <w:r>
        <w:t xml:space="preserve"> se obtienen las 32 restantes con sus 96 puntos.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