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Hoja de Trabajo</w:t>
      </w:r>
    </w:p>
    <w:p>
      <w:pPr>
        <w:jc w:val="center"/>
        <w:spacing w:before="0" w:after="60"/>
      </w:pPr>
      <w:r>
        <w:rPr>
          <w:sz w:val="30"/>
          <w:color w:val="2E6DA4"/>
        </w:rPr>
        <w:t xml:space="preserve">Modelos de arquitectura, patrones de diseño y propuesta de experimentos</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Entrega — Semana 4</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Contenido de este documento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Sección</w:t>
            </w:r>
          </w:p>
        </w:tc>
        <w:tc>
          <w:tcPr>
            <w:tcW w:w="0" w:type="auto"/>
            <w:shd w:val="clear" w:fill="EDF2F7"/>
          </w:tcPr>
          <w:p>
            <w:pPr>
              <w:spacing w:before="20" w:after="20"/>
            </w:pPr>
            <w:r>
              <w:rPr>
                <w:b/>
              </w:rPr>
              <w:t xml:space="preserve">Contenido</w:t>
            </w:r>
          </w:p>
        </w:tc>
      </w:tr>
      <w:tr>
        <w:tc>
          <w:tcPr>
            <w:tcW w:w="0" w:type="auto"/>
          </w:tcPr>
          <w:p>
            <w:pPr>
              <w:spacing w:before="20" w:after="20"/>
            </w:pPr>
            <w:r>
              <w:t xml:space="preserve">§1</w:t>
            </w:r>
          </w:p>
        </w:tc>
        <w:tc>
          <w:tcPr>
            <w:tcW w:w="0" w:type="auto"/>
          </w:tcPr>
          <w:p>
            <w:pPr>
              <w:spacing w:before="20" w:after="20"/>
            </w:pPr>
            <w:r>
              <w:t xml:space="preserve">Contexto y atributos de calidad que dirigen el diseño</w:t>
            </w:r>
          </w:p>
        </w:tc>
      </w:tr>
      <w:tr>
        <w:tc>
          <w:tcPr>
            <w:tcW w:w="0" w:type="auto"/>
          </w:tcPr>
          <w:p>
            <w:pPr>
              <w:spacing w:before="20" w:after="20"/>
            </w:pPr>
            <w:r>
              <w:t xml:space="preserve">§2</w:t>
            </w:r>
          </w:p>
        </w:tc>
        <w:tc>
          <w:tcPr>
            <w:tcW w:w="0" w:type="auto"/>
          </w:tcPr>
          <w:p>
            <w:pPr>
              <w:spacing w:before="20" w:after="20"/>
            </w:pPr>
            <w:r>
              <w:t xml:space="preserve">Modelos de arquitectura: vista funcional, de despliegue y de información</w:t>
            </w:r>
          </w:p>
        </w:tc>
      </w:tr>
      <w:tr>
        <w:tc>
          <w:tcPr>
            <w:tcW w:w="0" w:type="auto"/>
          </w:tcPr>
          <w:p>
            <w:pPr>
              <w:spacing w:before="20" w:after="20"/>
            </w:pPr>
            <w:r>
              <w:t xml:space="preserve">§3</w:t>
            </w:r>
          </w:p>
        </w:tc>
        <w:tc>
          <w:tcPr>
            <w:tcW w:w="0" w:type="auto"/>
          </w:tcPr>
          <w:p>
            <w:pPr>
              <w:spacing w:before="20" w:after="20"/>
            </w:pPr>
            <w:r>
              <w:t xml:space="preserve">Diseño detallado — patrones aplicados y su razonamiento frente a cada ASR</w:t>
            </w:r>
          </w:p>
        </w:tc>
      </w:tr>
      <w:tr>
        <w:tc>
          <w:tcPr>
            <w:tcW w:w="0" w:type="auto"/>
          </w:tcPr>
          <w:p>
            <w:pPr>
              <w:spacing w:before="20" w:after="20"/>
            </w:pPr>
            <w:r>
              <w:t xml:space="preserve">§4</w:t>
            </w:r>
          </w:p>
        </w:tc>
        <w:tc>
          <w:tcPr>
            <w:tcW w:w="0" w:type="auto"/>
          </w:tcPr>
          <w:p>
            <w:pPr>
              <w:spacing w:before="20" w:after="20"/>
            </w:pPr>
            <w:r>
              <w:t xml:space="preserve">Decisiones de arquitectura y alternativas descartadas</w:t>
            </w:r>
          </w:p>
        </w:tc>
      </w:tr>
      <w:tr>
        <w:tc>
          <w:tcPr>
            <w:tcW w:w="0" w:type="auto"/>
          </w:tcPr>
          <w:p>
            <w:pPr>
              <w:spacing w:before="20" w:after="20"/>
            </w:pPr>
            <w:r>
              <w:t xml:space="preserve">§5</w:t>
            </w:r>
          </w:p>
        </w:tc>
        <w:tc>
          <w:tcPr>
            <w:tcW w:w="0" w:type="auto"/>
          </w:tcPr>
          <w:p>
            <w:pPr>
              <w:spacing w:before="20" w:after="20"/>
            </w:pPr>
            <w:r>
              <w:t xml:space="preserve">Propuesta de experimentos de arquitectura</w:t>
            </w:r>
          </w:p>
        </w:tc>
      </w:tr>
      <w:tr>
        <w:tc>
          <w:tcPr>
            <w:tcW w:w="0" w:type="auto"/>
          </w:tcPr>
          <w:p>
            <w:pPr>
              <w:spacing w:before="20" w:after="20"/>
            </w:pPr>
            <w:r>
              <w:t xml:space="preserve">§6</w:t>
            </w:r>
          </w:p>
        </w:tc>
        <w:tc>
          <w:tcPr>
            <w:tcW w:w="0" w:type="auto"/>
          </w:tcPr>
          <w:p>
            <w:pPr>
              <w:spacing w:before="20" w:after="20"/>
            </w:pPr>
            <w:r>
              <w:t xml:space="preserve">Refinamiento de la estrategia de pruebas</w:t>
            </w:r>
          </w:p>
        </w:tc>
      </w:tr>
      <w:tr>
        <w:tc>
          <w:tcPr>
            <w:tcW w:w="0" w:type="auto"/>
          </w:tcPr>
          <w:p>
            <w:pPr>
              <w:spacing w:before="20" w:after="20"/>
            </w:pPr>
            <w:r>
              <w:t xml:space="preserve">§7</w:t>
            </w:r>
          </w:p>
        </w:tc>
        <w:tc>
          <w:tcPr>
            <w:tcW w:w="0" w:type="auto"/>
          </w:tcPr>
          <w:p>
            <w:pPr>
              <w:spacing w:before="20" w:after="20"/>
            </w:pPr>
            <w:r>
              <w:t xml:space="preserve">Plan de trabajo y estado del tablero</w:t>
            </w:r>
          </w:p>
        </w:tc>
      </w:tr>
    </w:tbl>
    <w:p>
      <w:r>
        <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948310"/>
            <wp:docPr id="100" name="Imagen 100"/>
            <a:graphic xmlns:a="http://schemas.openxmlformats.org/drawingml/2006/main">
              <a:graphicData uri="http://schemas.openxmlformats.org/drawingml/2006/picture">
                <pic:pic xmlns:pic="http://schemas.openxmlformats.org/drawingml/2006/picture">
                  <pic:nvPicPr>
                    <pic:cNvPr id="100" name="vista_funcional.png"/>
                    <pic:cNvPicPr/>
                  </pic:nvPicPr>
                  <pic:blipFill>
                    <a:blip xmlns:r="http://schemas.openxmlformats.org/officeDocument/2006/relationships" r:embed="rIdImg0"/>
                    <a:stretch>
                      <a:fillRect/>
                    </a:stretch>
                  </pic:blipFill>
                  <pic:spPr>
                    <a:xfrm>
                      <a:off x="0" y="0"/>
                      <a:ext cx="6126480" cy="4948310"/>
                    </a:xfrm>
                    <a:prstGeom prst="rect">
                      <a:avLst/>
                    </a:prstGeom>
                  </pic:spPr>
                </pic:pic>
              </a:graphicData>
            </a:graphic>
          </wp:inline>
        </w:drawing>
      </w:r>
    </w:p>
    <w:p>
      <w:pPr>
        <w:jc w:val="center"/>
        <w:spacing w:after="200"/>
      </w:pPr>
      <w:r>
        <w:rPr>
          <w:i/>
          <w:sz w:val="18"/>
          <w:color w:val="666666"/>
        </w:rPr>
        <w:t xml:space="preserve">Figura 1. Vista funcional de la arquitectura de Solventa</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2.2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3118558"/>
            <wp:docPr id="101" name="Imagen 101"/>
            <a:graphic xmlns:a="http://schemas.openxmlformats.org/drawingml/2006/main">
              <a:graphicData uri="http://schemas.openxmlformats.org/drawingml/2006/picture">
                <pic:pic xmlns:pic="http://schemas.openxmlformats.org/drawingml/2006/picture">
                  <pic:nvPicPr>
                    <pic:cNvPr id="101" name="vista_despliegue.png"/>
                    <pic:cNvPicPr/>
                  </pic:nvPicPr>
                  <pic:blipFill>
                    <a:blip xmlns:r="http://schemas.openxmlformats.org/officeDocument/2006/relationships" r:embed="rIdImg1"/>
                    <a:stretch>
                      <a:fillRect/>
                    </a:stretch>
                  </pic:blipFill>
                  <pic:spPr>
                    <a:xfrm>
                      <a:off x="0" y="0"/>
                      <a:ext cx="6126480" cy="3118558"/>
                    </a:xfrm>
                    <a:prstGeom prst="rect">
                      <a:avLst/>
                    </a:prstGeom>
                  </pic:spPr>
                </pic:pic>
              </a:graphicData>
            </a:graphic>
          </wp:inline>
        </w:drawing>
      </w:r>
    </w:p>
    <w:p>
      <w:pPr>
        <w:jc w:val="center"/>
        <w:spacing w:after="200"/>
      </w:pPr>
      <w:r>
        <w:rPr>
          <w:i/>
          <w:sz w:val="18"/>
          <w:color w:val="666666"/>
        </w:rPr>
        <w:t xml:space="preserve">Figura 2.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2.3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1860062"/>
            <wp:docPr id="102" name="Imagen 102"/>
            <a:graphic xmlns:a="http://schemas.openxmlformats.org/drawingml/2006/main">
              <a:graphicData uri="http://schemas.openxmlformats.org/drawingml/2006/picture">
                <pic:pic xmlns:pic="http://schemas.openxmlformats.org/drawingml/2006/picture">
                  <pic:nvPicPr>
                    <pic:cNvPr id="102" name="vista_informacion.png"/>
                    <pic:cNvPicPr/>
                  </pic:nvPicPr>
                  <pic:blipFill>
                    <a:blip xmlns:r="http://schemas.openxmlformats.org/officeDocument/2006/relationships" r:embed="rIdImg2"/>
                    <a:stretch>
                      <a:fillRect/>
                    </a:stretch>
                  </pic:blipFill>
                  <pic:spPr>
                    <a:xfrm>
                      <a:off x="0" y="0"/>
                      <a:ext cx="6126480" cy="1860062"/>
                    </a:xfrm>
                    <a:prstGeom prst="rect">
                      <a:avLst/>
                    </a:prstGeom>
                  </pic:spPr>
                </pic:pic>
              </a:graphicData>
            </a:graphic>
          </wp:inline>
        </w:drawing>
      </w:r>
    </w:p>
    <w:p>
      <w:pPr>
        <w:jc w:val="center"/>
        <w:spacing w:after="200"/>
      </w:pPr>
      <w:r>
        <w:rPr>
          <w:i/>
          <w:sz w:val="18"/>
          <w:color w:val="666666"/>
        </w:rPr>
        <w:t xml:space="preserve">Figura 3.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3.3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3.4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3.5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3.6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3.7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3.8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3.9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3.10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3.11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3.12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3.13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para el experimento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incluye explícitamente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 La selección de qué se experimenta se justifica en §5.2.</w:t>
      </w:r>
    </w:p>
    <w:p>
      <w:pPr>
        <w:pStyle w:val="Heading3"/>
      </w:pPr>
      <w:r>
        <w:t xml:space="preserve">5.2 Puntos de sensibilidad e identificación de la incertidumbre</w:t>
      </w:r>
    </w:p>
    <w:p>
      <w:r>
        <w:t xml:space="preserve">Un </w:t>
      </w:r>
      <w:r>
        <w:rPr>
          <w:b/>
        </w:rPr>
        <w:t xml:space="preserve">punto de sensibilidad</w:t>
      </w:r>
      <w:r>
        <w:t xml:space="preserve"> es una decisión de arquitectura de la que depende críticamente el cumplimiento de una historia de arquitectura. Antes de diseñar experimento alguno, el equipo identificó los puntos de sensibilidad de las once historias de arquitectura y evaluó, para cada uno, cuánta incertidumbre genera.</w:t>
      </w:r>
    </w:p>
    <w:p>
      <w:r>
        <w:t xml:space="preserve">La incertidumbre se calificó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¿Se experimenta?</w:t>
            </w:r>
          </w:p>
        </w:tc>
      </w:tr>
      <w:tr>
        <w:tc>
          <w:tcPr>
            <w:tcW w:w="0" w:type="auto"/>
          </w:tcPr>
          <w:p>
            <w:pPr>
              <w:spacing w:before="20" w:after="20"/>
            </w:pPr>
            <w:r>
              <w:t xml:space="preserve">HU-ARQ-07</w:t>
            </w:r>
          </w:p>
        </w:tc>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rPr>
                <w:b/>
              </w:rPr>
              <w:t xml:space="preserve">Alta</w:t>
            </w:r>
          </w:p>
        </w:tc>
        <w:tc>
          <w:tcPr>
            <w:tcW w:w="0" w:type="auto"/>
          </w:tcPr>
          <w:p>
            <w:pPr>
              <w:spacing w:before="20" w:after="20"/>
            </w:pPr>
            <w:r>
              <w:t xml:space="preserve">Sí — EXP-01</w:t>
            </w:r>
          </w:p>
        </w:tc>
      </w:tr>
      <w:tr>
        <w:tc>
          <w:tcPr>
            <w:tcW w:w="0" w:type="auto"/>
          </w:tcPr>
          <w:p>
            <w:pPr>
              <w:spacing w:before="20" w:after="20"/>
            </w:pPr>
            <w:r>
              <w:t xml:space="preserve">HU-ARQ-08</w:t>
            </w:r>
          </w:p>
        </w:tc>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rPr>
                <w:b/>
              </w:rPr>
              <w:t xml:space="preserve">Alta</w:t>
            </w:r>
          </w:p>
        </w:tc>
        <w:tc>
          <w:tcPr>
            <w:tcW w:w="0" w:type="auto"/>
          </w:tcPr>
          <w:p>
            <w:pPr>
              <w:spacing w:before="20" w:after="20"/>
            </w:pPr>
            <w:r>
              <w:t xml:space="preserve">Sí — EXP-02</w:t>
            </w:r>
          </w:p>
        </w:tc>
      </w:tr>
      <w:tr>
        <w:tc>
          <w:tcPr>
            <w:tcW w:w="0" w:type="auto"/>
          </w:tcPr>
          <w:p>
            <w:pPr>
              <w:spacing w:before="20" w:after="20"/>
            </w:pPr>
            <w:r>
              <w:t xml:space="preserve">HU-ARQ-06</w:t>
            </w:r>
          </w:p>
        </w:tc>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 a otros servicios</w:t>
            </w:r>
          </w:p>
        </w:tc>
        <w:tc>
          <w:tcPr>
            <w:tcW w:w="0" w:type="auto"/>
          </w:tcPr>
          <w:p>
            <w:pPr>
              <w:spacing w:before="20" w:after="20"/>
            </w:pPr>
            <w:r>
              <w:rPr>
                <w:b/>
              </w:rPr>
              <w:t xml:space="preserve">Alta</w:t>
            </w:r>
          </w:p>
        </w:tc>
        <w:tc>
          <w:tcPr>
            <w:tcW w:w="0" w:type="auto"/>
          </w:tcPr>
          <w:p>
            <w:pPr>
              <w:spacing w:before="20" w:after="20"/>
            </w:pPr>
            <w:r>
              <w:t xml:space="preserve">Sí — EXP-03</w:t>
            </w:r>
          </w:p>
        </w:tc>
      </w:tr>
      <w:tr>
        <w:tc>
          <w:tcPr>
            <w:tcW w:w="0" w:type="auto"/>
          </w:tcPr>
          <w:p>
            <w:pPr>
              <w:spacing w:before="20" w:after="20"/>
            </w:pPr>
            <w:r>
              <w:t xml:space="preserve">HU-ARQ-03</w:t>
            </w:r>
          </w:p>
        </w:tc>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en el camino crítico ni deje rutas por donde el dato original se filtre</w:t>
            </w:r>
          </w:p>
        </w:tc>
        <w:tc>
          <w:tcPr>
            <w:tcW w:w="0" w:type="auto"/>
          </w:tcPr>
          <w:p>
            <w:pPr>
              <w:spacing w:before="20" w:after="20"/>
            </w:pPr>
            <w:r>
              <w:rPr>
                <w:b/>
              </w:rPr>
              <w:t xml:space="preserve">Alta</w:t>
            </w:r>
          </w:p>
        </w:tc>
        <w:tc>
          <w:tcPr>
            <w:tcW w:w="0" w:type="auto"/>
          </w:tcPr>
          <w:p>
            <w:pPr>
              <w:spacing w:before="20" w:after="20"/>
            </w:pPr>
            <w:r>
              <w:t xml:space="preserve">Sí — EXP-04</w:t>
            </w:r>
          </w:p>
        </w:tc>
      </w:tr>
      <w:tr>
        <w:tc>
          <w:tcPr>
            <w:tcW w:w="0" w:type="auto"/>
          </w:tcPr>
          <w:p>
            <w:pPr>
              <w:spacing w:before="20" w:after="20"/>
            </w:pPr>
            <w:r>
              <w:t xml:space="preserve">HU-ARQ-02</w:t>
            </w:r>
          </w:p>
        </w:tc>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 sin fugas de abstracción</w:t>
            </w:r>
          </w:p>
        </w:tc>
        <w:tc>
          <w:tcPr>
            <w:tcW w:w="0" w:type="auto"/>
          </w:tcPr>
          <w:p>
            <w:pPr>
              <w:spacing w:before="20" w:after="20"/>
            </w:pPr>
            <w:r>
              <w:t xml:space="preserve">Media</w:t>
            </w:r>
          </w:p>
        </w:tc>
        <w:tc>
          <w:tcPr>
            <w:tcW w:w="0" w:type="auto"/>
          </w:tcPr>
          <w:p>
            <w:pPr>
              <w:spacing w:before="20" w:after="20"/>
            </w:pPr>
            <w:r>
              <w:t xml:space="preserve">Se difiere al Proyecto Final 2</w:t>
            </w:r>
          </w:p>
        </w:tc>
      </w:tr>
      <w:tr>
        <w:tc>
          <w:tcPr>
            <w:tcW w:w="0" w:type="auto"/>
          </w:tcPr>
          <w:p>
            <w:pPr>
              <w:spacing w:before="20" w:after="20"/>
            </w:pPr>
            <w:r>
              <w:t xml:space="preserve">HU-ARQ-10</w:t>
            </w:r>
          </w:p>
        </w:tc>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el almacenamiento local y el servidor</w:t>
            </w:r>
          </w:p>
        </w:tc>
        <w:tc>
          <w:tcPr>
            <w:tcW w:w="0" w:type="auto"/>
          </w:tcPr>
          <w:p>
            <w:pPr>
              <w:spacing w:before="20" w:after="20"/>
            </w:pPr>
            <w:r>
              <w:t xml:space="preserve">Media</w:t>
            </w:r>
          </w:p>
        </w:tc>
        <w:tc>
          <w:tcPr>
            <w:tcW w:w="0" w:type="auto"/>
          </w:tcPr>
          <w:p>
            <w:pPr>
              <w:spacing w:before="20" w:after="20"/>
            </w:pPr>
            <w:r>
              <w:t xml:space="preserve">Se difiere al Proyecto Final 2</w:t>
            </w:r>
          </w:p>
        </w:tc>
      </w:tr>
      <w:tr>
        <w:tc>
          <w:tcPr>
            <w:tcW w:w="0" w:type="auto"/>
          </w:tcPr>
          <w:p>
            <w:pPr>
              <w:spacing w:before="20" w:after="20"/>
            </w:pPr>
            <w:r>
              <w:t xml:space="preserve">HU-ARQ-01</w:t>
            </w:r>
          </w:p>
        </w:tc>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Media</w:t>
            </w:r>
          </w:p>
        </w:tc>
        <w:tc>
          <w:tcPr>
            <w:tcW w:w="0" w:type="auto"/>
          </w:tcPr>
          <w:p>
            <w:pPr>
              <w:spacing w:before="20" w:after="20"/>
            </w:pPr>
            <w:r>
              <w:t xml:space="preserve">Se difiere al Proyecto Final 2</w:t>
            </w:r>
          </w:p>
        </w:tc>
      </w:tr>
      <w:tr>
        <w:tc>
          <w:tcPr>
            <w:tcW w:w="0" w:type="auto"/>
          </w:tcPr>
          <w:p>
            <w:pPr>
              <w:spacing w:before="20" w:after="20"/>
            </w:pPr>
            <w:r>
              <w:t xml:space="preserve">HU-ARQ-11</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w:t>
            </w:r>
          </w:p>
        </w:tc>
        <w:tc>
          <w:tcPr>
            <w:tcW w:w="0" w:type="auto"/>
          </w:tcPr>
          <w:p>
            <w:pPr>
              <w:spacing w:before="20" w:after="20"/>
            </w:pPr>
            <w:r>
              <w:rPr>
                <w:b/>
              </w:rPr>
              <w:t xml:space="preserve">Baja</w:t>
            </w:r>
          </w:p>
        </w:tc>
        <w:tc>
          <w:tcPr>
            <w:tcW w:w="0" w:type="auto"/>
          </w:tcPr>
          <w:p>
            <w:pPr>
              <w:spacing w:before="20" w:after="20"/>
            </w:pPr>
            <w:r>
              <w:rPr>
                <w:b/>
              </w:rPr>
              <w:t xml:space="preserve">No.</w:t>
            </w:r>
            <w:r>
              <w:t xml:space="preserve"> Es una capacidad documentada y garantizada por la plataforma, no una decisión de diseño incierta. Se verifica con una prueba de configuración, no con un experimento</w:t>
            </w:r>
          </w:p>
        </w:tc>
      </w:tr>
      <w:tr>
        <w:tc>
          <w:tcPr>
            <w:tcW w:w="0" w:type="auto"/>
          </w:tcPr>
          <w:p>
            <w:pPr>
              <w:spacing w:before="20" w:after="20"/>
            </w:pPr>
            <w:r>
              <w:t xml:space="preserve">HU-ARQ-09</w:t>
            </w:r>
          </w:p>
        </w:tc>
        <w:tc>
          <w:tcPr>
            <w:tcW w:w="0" w:type="auto"/>
          </w:tcPr>
          <w:p>
            <w:pPr>
              <w:spacing w:before="20" w:after="20"/>
            </w:pPr>
            <w:r>
              <w:t xml:space="preserve">ASR-3.2</w:t>
            </w:r>
          </w:p>
        </w:tc>
        <w:tc>
          <w:tcPr>
            <w:tcW w:w="0" w:type="auto"/>
          </w:tcPr>
          <w:p>
            <w:pPr>
              <w:spacing w:before="20" w:after="20"/>
            </w:pPr>
            <w:r>
              <w:t xml:space="preserve">El comportamiento activo-activo multi-zona y la promoción automática de la réplica</w:t>
            </w:r>
          </w:p>
        </w:tc>
        <w:tc>
          <w:tcPr>
            <w:tcW w:w="0" w:type="auto"/>
          </w:tcPr>
          <w:p>
            <w:pPr>
              <w:spacing w:before="20" w:after="20"/>
            </w:pPr>
            <w:r>
              <w:t xml:space="preserve">Media</w:t>
            </w:r>
          </w:p>
        </w:tc>
        <w:tc>
          <w:tcPr>
            <w:tcW w:w="0" w:type="auto"/>
          </w:tcPr>
          <w:p>
            <w:pPr>
              <w:spacing w:before="20" w:after="20"/>
            </w:pPr>
            <w:r>
              <w:t xml:space="preserve">Se difiere al Proyecto Final 2 por dependencia de infraestructura con costo</w:t>
            </w:r>
          </w:p>
        </w:tc>
      </w:tr>
    </w:tbl>
    <w:p>
      <w:r>
        <w:t/>
      </w:r>
    </w:p>
    <w:p>
      <w:pPr>
        <w:pStyle w:val="Quote"/>
      </w:pPr>
      <w:r>
        <w:rPr>
          <w:b/>
        </w:rPr>
        <w:t xml:space="preserve">Sobre HU-ARQ-11.</w:t>
      </w:r>
      <w:r>
        <w:t xml:space="preserve"> Se decidió deliberadamente no diseñar un experimento para el bloqueo de escritura del almacenamiento de objetos. El mecanismo es una garantía de la plataforma con comportamiento especificado por el proveedor; el equipo no tiene incertidumbre sobre si funciona, sino sobre si lo configuró bien. Esa es una pregunta de verificación de configuración, y su lugar es la suite de pruebas de seguridad, no el programa de experimentación. Aplicar aquí el criterio del profesor —no experimentar lo que no genera incertidumbre— libera 8 horas que se reasignan a los experimentos de latencia, donde la incertidumbre sí es alta.</w:t>
      </w:r>
    </w:p>
    <w:p>
      <w:r>
        <w:rPr>
          <w:b/>
        </w:rPr>
        <w:t xml:space="preserve">Sprint 1 de diseño.</w:t>
      </w:r>
      <w:r>
        <w:t xml:space="preserve"> El programa de experimentación se limita deliberadamente a los cuatro puntos de sensibilidad de incertidumbre alta, que conforman el Sprint 1 de diseño y se ejecutan en las semanas 5 y 6. Los cinco puntos de sensibilidad restantes se difieren al Proyecto Final 2: concentrar las 42 horas disponibles en los cuatro experimentos que realmente reducen incertidumbre produce más información que repartirlas entre nueve.</w:t>
      </w:r>
    </w:p>
    <w:p>
      <w:pPr>
        <w:pStyle w:val="Heading3"/>
      </w:pPr>
      <w:r>
        <w:t xml:space="preserve">5.3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HU-ARQ-07 · Optimización de latencia del motor de scoring (SOL-28)</w:t>
            </w:r>
          </w:p>
        </w:tc>
      </w:tr>
      <w:tr>
        <w:tc>
          <w:tcPr>
            <w:tcW w:w="0" w:type="auto"/>
          </w:tcPr>
          <w:p>
            <w:pPr>
              <w:spacing w:before="20" w:after="20"/>
            </w:pPr>
            <w:r>
              <w:rPr>
                <w:b/>
              </w:rPr>
              <w:t xml:space="preserve">Requisito de calidad objetivo</w:t>
            </w:r>
          </w:p>
        </w:tc>
        <w:tc>
          <w:tcPr>
            <w:tcW w:w="0" w:type="auto"/>
          </w:tcPr>
          <w:p>
            <w:pPr>
              <w:spacing w:before="20" w:after="20"/>
            </w:pPr>
            <w:r>
              <w:t xml:space="preserve">ASR-1.1 — p95 &lt; 200 ms con 500 req/min; p99 &lt; 400 ms</w:t>
            </w:r>
          </w:p>
        </w:tc>
      </w:tr>
      <w:tr>
        <w:tc>
          <w:tcPr>
            <w:tcW w:w="0" w:type="auto"/>
          </w:tcPr>
          <w:p>
            <w:pPr>
              <w:spacing w:before="20" w:after="20"/>
            </w:pPr>
            <w:r>
              <w:rPr>
                <w:b/>
              </w:rPr>
              <w:t xml:space="preserve">Punto de sensibilidad</w:t>
            </w:r>
          </w:p>
        </w:tc>
        <w:tc>
          <w:tcPr>
            <w:tcW w:w="0" w:type="auto"/>
          </w:tcPr>
          <w:p>
            <w:pPr>
              <w:spacing w:before="20" w:after="20"/>
            </w:pPr>
            <w:r>
              <w:t xml:space="preserve">Resolver el scoring desde un perfil derivado cacheado en lugar de consultar Open Finance en el camino crítico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El equipo no sabe dos cosas: qué tasa de acierto real produce una ventana de vigencia de 15 minutos en un flujo donde el usuario itera sobre planes, y cuánto del presupuesto de 200 ms consume el procesamiento propio una vez descontada la consulta externa. Si el procesamiento propio consume 150 ms, el diseño no cierra por más que el caché acierte</w:t>
            </w:r>
          </w:p>
        </w:tc>
      </w:tr>
      <w:tr>
        <w:tc>
          <w:tcPr>
            <w:tcW w:w="0" w:type="auto"/>
          </w:tcPr>
          <w:p>
            <w:pPr>
              <w:spacing w:before="20" w:after="20"/>
            </w:pPr>
            <w:r>
              <w:rPr>
                <w:b/>
              </w:rPr>
              <w:t xml:space="preserve">Propósito</w:t>
            </w:r>
          </w:p>
        </w:tc>
        <w:tc>
          <w:tcPr>
            <w:tcW w:w="0" w:type="auto"/>
          </w:tcPr>
          <w:p>
            <w:pPr>
              <w:spacing w:before="20" w:after="20"/>
            </w:pPr>
            <w:r>
              <w:t xml:space="preserve">Determinar si la decisión de cachear el perfil derivado hace viable el presupuesto de latencia, y medir el reparto real de ese presupuesto entre sus componentes</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P1 — Caché de perfiles con lectura anticipada</w:t>
            </w:r>
          </w:p>
        </w:tc>
      </w:tr>
      <w:tr>
        <w:tc>
          <w:tcPr>
            <w:tcW w:w="0" w:type="auto"/>
          </w:tcPr>
          <w:p>
            <w:pPr>
              <w:spacing w:before="20" w:after="20"/>
            </w:pPr>
            <w:r>
              <w:t xml:space="preserve">Táctica (rendimiento)</w:t>
            </w:r>
          </w:p>
        </w:tc>
        <w:tc>
          <w:tcPr>
            <w:tcW w:w="0" w:type="auto"/>
          </w:tcPr>
          <w:p>
            <w:pPr>
              <w:spacing w:before="20" w:after="20"/>
            </w:pPr>
            <w:r>
              <w:t xml:space="preserve">Mantener múltiples copias de los datos computados</w:t>
            </w:r>
          </w:p>
        </w:tc>
      </w:tr>
      <w:tr>
        <w:tc>
          <w:tcPr>
            <w:tcW w:w="0" w:type="auto"/>
          </w:tcPr>
          <w:p>
            <w:pPr>
              <w:spacing w:before="20" w:after="20"/>
            </w:pPr>
            <w:r>
              <w:t xml:space="preserve">Táctica (rendimiento)</w:t>
            </w:r>
          </w:p>
        </w:tc>
        <w:tc>
          <w:tcPr>
            <w:tcW w:w="0" w:type="auto"/>
          </w:tcPr>
          <w:p>
            <w:pPr>
              <w:spacing w:before="20" w:after="20"/>
            </w:pPr>
            <w:r>
              <w:t xml:space="preserve">Reducir la demanda computacional en el camino crítico</w:t>
            </w:r>
          </w:p>
        </w:tc>
      </w:tr>
      <w:tr>
        <w:tc>
          <w:tcPr>
            <w:tcW w:w="0" w:type="auto"/>
          </w:tcPr>
          <w:p>
            <w:pPr>
              <w:spacing w:before="20" w:after="20"/>
            </w:pPr>
            <w:r>
              <w:t xml:space="preserve">Táctica (rendimiento)</w:t>
            </w:r>
          </w:p>
        </w:tc>
        <w:tc>
          <w:tcPr>
            <w:tcW w:w="0" w:type="auto"/>
          </w:tcPr>
          <w:p>
            <w:pPr>
              <w:spacing w:before="20" w:after="20"/>
            </w:pPr>
            <w:r>
              <w:t xml:space="preserve">Acotar el tiempo de ejecución mediante presupuesto de latencia por salto</w:t>
            </w:r>
          </w:p>
        </w:tc>
      </w:tr>
    </w:tbl>
    <w:p>
      <w:r>
        <w:t/>
      </w:r>
    </w:p>
    <w:p>
      <w:r>
        <w:rPr>
          <w:b/>
        </w:rPr>
        <w:t xml:space="preserve">Porción del diseño que se construye</w:t>
      </w:r>
    </w:p>
    <w:p>
      <w:r>
        <w:t xml:space="preserve">Se implementa el camino crítico completo de cotización con fidelidad arquitectural: los tres componentes reales, sus conectores reales y la persistencia real. Se recorta el alcance funcional a un solo ramo y un solo plan de cobertura.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y Rating</w:t>
            </w:r>
          </w:p>
        </w:tc>
        <w:tc>
          <w:tcPr>
            <w:tcW w:w="0" w:type="auto"/>
          </w:tcPr>
          <w:p>
            <w:pPr>
              <w:spacing w:before="20" w:after="20"/>
            </w:pPr>
            <w:r>
              <w:t xml:space="preserve">Recibe la solicitud, solicita el perfil, aplica el motor de rating y compone la prima</w:t>
            </w:r>
          </w:p>
        </w:tc>
        <w:tc>
          <w:tcPr>
            <w:tcW w:w="0" w:type="auto"/>
          </w:tcPr>
          <w:p>
            <w:pPr>
              <w:spacing w:before="20" w:after="20"/>
            </w:pPr>
            <w:r>
              <w:t xml:space="preserve">Responder el 95% de las solicitudes en menos de 200 ms; consumir menos de 40 ms en el cálculo de rating</w:t>
            </w:r>
          </w:p>
        </w:tc>
        <w:tc>
          <w:tcPr>
            <w:tcW w:w="0" w:type="auto"/>
          </w:tcPr>
          <w:p>
            <w:pPr>
              <w:spacing w:before="20" w:after="20"/>
            </w:pPr>
            <w:r>
              <w:t xml:space="preserve">Python 3.11 · Flask · Gunicorn con trabajadores concurrentes</w:t>
            </w:r>
          </w:p>
        </w:tc>
      </w:tr>
      <w:tr>
        <w:tc>
          <w:tcPr>
            <w:tcW w:w="0" w:type="auto"/>
          </w:tcPr>
          <w:p>
            <w:pPr>
              <w:spacing w:before="20" w:after="20"/>
            </w:pPr>
            <w:r>
              <w:t xml:space="preserve">Perfilamiento y Scoring</w:t>
            </w:r>
          </w:p>
        </w:tc>
        <w:tc>
          <w:tcPr>
            <w:tcW w:w="0" w:type="auto"/>
          </w:tcPr>
          <w:p>
            <w:pPr>
              <w:spacing w:before="20" w:after="20"/>
            </w:pPr>
            <w:r>
              <w:t xml:space="preserve">Resuelve el perfil de riesgo consultando primero el caché y recurriendo al proveedor externo solo ante ausencia</w:t>
            </w:r>
          </w:p>
        </w:tc>
        <w:tc>
          <w:tcPr>
            <w:tcW w:w="0" w:type="auto"/>
          </w:tcPr>
          <w:p>
            <w:pPr>
              <w:spacing w:before="20" w:after="20"/>
            </w:pPr>
            <w:r>
              <w:t xml:space="preserve">Tasa de acierto de caché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entre el modelo del proveedor y el modelo de dominio, con tiempo de espera acotado</w:t>
            </w:r>
          </w:p>
        </w:tc>
        <w:tc>
          <w:tcPr>
            <w:tcW w:w="0" w:type="auto"/>
          </w:tcPr>
          <w:p>
            <w:pPr>
              <w:spacing w:before="20" w:after="20"/>
            </w:pPr>
            <w:r>
              <w:t xml:space="preserve">Respetar un tiempo de espera de 150 ms; no bloquear más allá de ese límite</w:t>
            </w:r>
          </w:p>
        </w:tc>
        <w:tc>
          <w:tcPr>
            <w:tcW w:w="0" w:type="auto"/>
          </w:tcPr>
          <w:p>
            <w:pPr>
              <w:spacing w:before="20" w:after="20"/>
            </w:pPr>
            <w:r>
              <w:t xml:space="preserve">Python 3.11 · httpx con depósito de conexiones</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entre servicios añada menos de 5 ms al percentil 95</w:t>
            </w:r>
          </w:p>
        </w:tc>
        <w:tc>
          <w:tcPr>
            <w:tcW w:w="0" w:type="auto"/>
          </w:tcPr>
          <w:p>
            <w:pPr>
              <w:spacing w:before="20" w:after="20"/>
            </w:pPr>
            <w:r>
              <w:t xml:space="preserve">HTTP/1.1 con conexión persistente y depósito de conexiones</w:t>
            </w:r>
          </w:p>
        </w:tc>
      </w:tr>
      <w:tr>
        <w:tc>
          <w:tcPr>
            <w:tcW w:w="0" w:type="auto"/>
          </w:tcPr>
          <w:p>
            <w:pPr>
              <w:spacing w:before="20" w:after="20"/>
            </w:pPr>
            <w:r>
              <w:t xml:space="preserve">Perfilamiento → Caché</w:t>
            </w:r>
          </w:p>
        </w:tc>
        <w:tc>
          <w:tcPr>
            <w:tcW w:w="0" w:type="auto"/>
          </w:tcPr>
          <w:p>
            <w:pPr>
              <w:spacing w:before="20" w:after="20"/>
            </w:pPr>
            <w:r>
              <w:t xml:space="preserve">Que la lectura del perfil se resuelva por debajo de 2 ms en el percentil 99</w:t>
            </w:r>
          </w:p>
        </w:tc>
        <w:tc>
          <w:tcPr>
            <w:tcW w:w="0" w:type="auto"/>
          </w:tcPr>
          <w:p>
            <w:pPr>
              <w:spacing w:before="20" w:after="20"/>
            </w:pPr>
            <w:r>
              <w:t xml:space="preserve">Protocolo RESP · cliente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y parámetros del ramo no supere 10 ms</w:t>
            </w:r>
          </w:p>
        </w:tc>
        <w:tc>
          <w:tcPr>
            <w:tcW w:w="0" w:type="auto"/>
          </w:tcPr>
          <w:p>
            <w:pPr>
              <w:spacing w:before="20" w:after="20"/>
            </w:pPr>
            <w:r>
              <w:t xml:space="preserve">psycopg con depósito de conexiones</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un simulador con latencia controlada</w:t>
            </w:r>
          </w:p>
        </w:tc>
      </w:tr>
    </w:tbl>
    <w:p>
      <w:r>
        <w:t/>
      </w:r>
    </w:p>
    <w:p>
      <w:r>
        <w:rPr>
          <w:b/>
        </w:rPr>
        <w:t xml:space="preserve">Montaje y medición</w:t>
      </w:r>
    </w:p>
    <w:p>
      <w:r>
        <w:t xml:space="preserve">Entorno en contenedores con los tres servicios, PostgreSQL y Redis. Un simulador reemplaza a Open Finance con latencia fija de 300 ms. Se genera carga de 500 peticiones por minuto durante 10 minutos, con una distribución de clientes que produce la tasa de acierto objetivo. Se instrumenta cada salto por separado para poder atribuir el tiempo consumido a un componente concreto y no solo al total.</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por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JMeter</w:t>
            </w:r>
          </w:p>
        </w:tc>
        <w:tc>
          <w:tcPr>
            <w:tcW w:w="0" w:type="auto"/>
          </w:tcPr>
          <w:p>
            <w:pPr>
              <w:spacing w:before="20" w:after="20"/>
            </w:pPr>
            <w:r>
              <w:t xml:space="preserve">0%</w:t>
            </w:r>
          </w:p>
        </w:tc>
      </w:tr>
    </w:tbl>
    <w:p>
      <w:r>
        <w:t/>
      </w:r>
    </w:p>
    <w:p>
      <w:r>
        <w:rPr>
          <w:b/>
        </w:rPr>
        <w:t xml:space="preserve">Resultado esperado y criterio de refutación</w:t>
      </w:r>
    </w:p>
    <w:p>
      <w:r>
        <w:t xml:space="preserve">Se espera p95 por debajo de 200 ms con tasa de acierto igual o superior al 80% y cero errores.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p>
    <w:p>
      <w:r>
        <w:t xml:space="preserve">Si se refuta, la decisión de diseño que se revisa es el momento del cálculo: se pasa de calcular la prima de forma sincrónica a precalcular las primas de las combinaciones más frecuentes de ramo y perfil, y servir el cálculo exacto solo para las combinaciones poco frecuentes. Esto convierte el problema de latencia en un problema de espacio de almacenamiento, que es más barato de resolver.</w:t>
      </w:r>
    </w:p>
    <w:p>
      <w:r>
        <w:rPr>
          <w:b/>
        </w:rPr>
        <w:t xml:space="preserve">Esfuerzo:</w:t>
      </w:r>
      <w:r>
        <w:t xml:space="preserve"> 10 horas-hombre · </w:t>
      </w:r>
      <w:r>
        <w:rPr>
          <w:b/>
        </w:rPr>
        <w:t xml:space="preserve">Prioridad:</w:t>
      </w:r>
      <w:r>
        <w:t xml:space="preserve"> Alta · </w:t>
      </w:r>
      <w:r>
        <w:rPr>
          <w:b/>
        </w:rPr>
        <w:t xml:space="preserve">Sprint 1 de diseño, semana 5</w:t>
      </w:r>
    </w:p>
    <w:p>
      <w:pPr>
        <w:pStyle w:val="Heading3"/>
      </w:pPr>
      <w:r>
        <w:t xml:space="preserve">5.4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HU-ARQ-08 · Event Bus Kafka y degradación elegante (SOL-37)</w:t>
            </w:r>
          </w:p>
        </w:tc>
      </w:tr>
      <w:tr>
        <w:tc>
          <w:tcPr>
            <w:tcW w:w="0" w:type="auto"/>
          </w:tcPr>
          <w:p>
            <w:pPr>
              <w:spacing w:before="20" w:after="20"/>
            </w:pPr>
            <w:r>
              <w:rPr>
                <w:b/>
              </w:rPr>
              <w:t xml:space="preserve">Requisito de calidad objetivo</w:t>
            </w:r>
          </w:p>
        </w:tc>
        <w:tc>
          <w:tcPr>
            <w:tcW w:w="0" w:type="auto"/>
          </w:tcPr>
          <w:p>
            <w:pPr>
              <w:spacing w:before="20" w:after="20"/>
            </w:pPr>
            <w:r>
              <w:t xml:space="preserve">ASR-1.2 — p95 &lt; 200 ms desde caché con el proveedor degradado; 0% de peticiones perdidas</w:t>
            </w:r>
          </w:p>
        </w:tc>
      </w:tr>
      <w:tr>
        <w:tc>
          <w:tcPr>
            <w:tcW w:w="0" w:type="auto"/>
          </w:tcPr>
          <w:p>
            <w:pPr>
              <w:spacing w:before="20" w:after="20"/>
            </w:pPr>
            <w:r>
              <w:rPr>
                <w:b/>
              </w:rPr>
              <w:t xml:space="preserve">Punto de sensibilidad</w:t>
            </w:r>
          </w:p>
        </w:tc>
        <w:tc>
          <w:tcPr>
            <w:tcW w:w="0" w:type="auto"/>
          </w:tcPr>
          <w:p>
            <w:pPr>
              <w:spacing w:before="20" w:after="20"/>
            </w:pPr>
            <w:r>
              <w:t xml:space="preserve">El umbral y la ventana del interruptor de circuito, y el reparto del presupuesto de latencia entre los tiempos de espera de cada salto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El interruptor de circuito es un mecanismo conocido, pero sus parámetros no se pueden derivar analíticamente. Un umbral demasiado alto deja que el sistema se sature antes de abrir; uno demasiado bajo abre ante fluctuaciones normales y degrada innecesariamente. El equipo no tiene datos previos para elegir esos valores</w:t>
            </w:r>
          </w:p>
        </w:tc>
      </w:tr>
      <w:tr>
        <w:tc>
          <w:tcPr>
            <w:tcW w:w="0" w:type="auto"/>
          </w:tcPr>
          <w:p>
            <w:pPr>
              <w:spacing w:before="20" w:after="20"/>
            </w:pPr>
            <w:r>
              <w:rPr>
                <w:b/>
              </w:rPr>
              <w:t xml:space="preserve">Propósito</w:t>
            </w:r>
          </w:p>
        </w:tc>
        <w:tc>
          <w:tcPr>
            <w:tcW w:w="0" w:type="auto"/>
          </w:tcPr>
          <w:p>
            <w:pPr>
              <w:spacing w:before="20" w:after="20"/>
            </w:pPr>
            <w:r>
              <w:t xml:space="preserve">Encontrar la calibración del interruptor que abre a tiempo para evitar el agotamiento de recursos sin abrir de forma espuria, y confirmar que la ruta degradada sostiene el objetivo de latencia</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P2 — Interruptor de circuito · P3 — Tiempo de espera con reintento y espera creciente</w:t>
            </w:r>
          </w:p>
        </w:tc>
      </w:tr>
      <w:tr>
        <w:tc>
          <w:tcPr>
            <w:tcW w:w="0" w:type="auto"/>
          </w:tcPr>
          <w:p>
            <w:pPr>
              <w:spacing w:before="20" w:after="20"/>
            </w:pPr>
            <w:r>
              <w:t xml:space="preserve">Táctica (disponibilidad)</w:t>
            </w:r>
          </w:p>
        </w:tc>
        <w:tc>
          <w:tcPr>
            <w:tcW w:w="0" w:type="auto"/>
          </w:tcPr>
          <w:p>
            <w:pPr>
              <w:spacing w:before="20" w:after="20"/>
            </w:pPr>
            <w:r>
              <w:t xml:space="preserve">Detección de fallas mediante monitoreo de la tasa de respuesta</w:t>
            </w:r>
          </w:p>
        </w:tc>
      </w:tr>
      <w:tr>
        <w:tc>
          <w:tcPr>
            <w:tcW w:w="0" w:type="auto"/>
          </w:tcPr>
          <w:p>
            <w:pPr>
              <w:spacing w:before="20" w:after="20"/>
            </w:pPr>
            <w:r>
              <w:t xml:space="preserve">Táctica (disponibilidad)</w:t>
            </w:r>
          </w:p>
        </w:tc>
        <w:tc>
          <w:tcPr>
            <w:tcW w:w="0" w:type="auto"/>
          </w:tcPr>
          <w:p>
            <w:pPr>
              <w:spacing w:before="20" w:after="20"/>
            </w:pPr>
            <w:r>
              <w:t xml:space="preserve">Degradación elegante ante indisponibilidad de una dependencia</w:t>
            </w:r>
          </w:p>
        </w:tc>
      </w:tr>
      <w:tr>
        <w:tc>
          <w:tcPr>
            <w:tcW w:w="0" w:type="auto"/>
          </w:tcPr>
          <w:p>
            <w:pPr>
              <w:spacing w:before="20" w:after="20"/>
            </w:pPr>
            <w:r>
              <w:t xml:space="preserve">Táctica (rendimiento)</w:t>
            </w:r>
          </w:p>
        </w:tc>
        <w:tc>
          <w:tcPr>
            <w:tcW w:w="0" w:type="auto"/>
          </w:tcPr>
          <w:p>
            <w:pPr>
              <w:spacing w:before="20" w:after="20"/>
            </w:pPr>
            <w:r>
              <w:t xml:space="preserve">Acotar el tiempo de espera para liberar recursos</w:t>
            </w:r>
          </w:p>
        </w:tc>
      </w:tr>
    </w:tbl>
    <w:p>
      <w:r>
        <w:t/>
      </w:r>
    </w:p>
    <w:p>
      <w:r>
        <w:rPr>
          <w:b/>
        </w:rPr>
        <w:t xml:space="preserve">Porción del diseño que se construye</w:t>
      </w:r>
    </w:p>
    <w:p>
      <w:r>
        <w:t xml:space="preserve">Se reutiliza el montaje del EXP-01 y se añade el interruptor de circuito envolviendo al adaptador Open Finance, con su estado expuesto como métrica. Es una extensión del mismo código de producción, no un montaje paralelo.</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y Scoring</w:t>
            </w:r>
          </w:p>
        </w:tc>
        <w:tc>
          <w:tcPr>
            <w:tcW w:w="0" w:type="auto"/>
          </w:tcPr>
          <w:p>
            <w:pPr>
              <w:spacing w:before="20" w:after="20"/>
            </w:pPr>
            <w:r>
              <w:t xml:space="preserve">Alojar el interruptor y decidir entre ruta normal y ruta degradada</w:t>
            </w:r>
          </w:p>
        </w:tc>
        <w:tc>
          <w:tcPr>
            <w:tcW w:w="0" w:type="auto"/>
          </w:tcPr>
          <w:p>
            <w:pPr>
              <w:spacing w:before="20" w:after="20"/>
            </w:pPr>
            <w:r>
              <w:t xml:space="preserve">Cambiar a ruta degradada en menos de 10 s desde el inicio de la degradación</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Ser el recurso protegido por el interruptor</w:t>
            </w:r>
          </w:p>
        </w:tc>
        <w:tc>
          <w:tcPr>
            <w:tcW w:w="0" w:type="auto"/>
          </w:tcPr>
          <w:p>
            <w:pPr>
              <w:spacing w:before="20" w:after="20"/>
            </w:pPr>
            <w:r>
              <w:t xml:space="preserve">Fallar rápido cuando el interruptor está abierto, sin consumir conexiones</w:t>
            </w:r>
          </w:p>
        </w:tc>
        <w:tc>
          <w:tcPr>
            <w:tcW w:w="0" w:type="auto"/>
          </w:tcPr>
          <w:p>
            <w:pPr>
              <w:spacing w:before="20" w:after="20"/>
            </w:pPr>
            <w:r>
              <w:t xml:space="preserve">Python 3.11 · httpx</w:t>
            </w:r>
          </w:p>
        </w:tc>
      </w:tr>
      <w:tr>
        <w:tc>
          <w:tcPr>
            <w:tcW w:w="0" w:type="auto"/>
          </w:tcPr>
          <w:p>
            <w:pPr>
              <w:spacing w:before="20" w:after="20"/>
            </w:pPr>
            <w:r>
              <w:t xml:space="preserve">Cotización y Rating</w:t>
            </w:r>
          </w:p>
        </w:tc>
        <w:tc>
          <w:tcPr>
            <w:tcW w:w="0" w:type="auto"/>
          </w:tcPr>
          <w:p>
            <w:pPr>
              <w:spacing w:before="20" w:after="20"/>
            </w:pPr>
            <w:r>
              <w:t xml:space="preserve">Consumir el perfil sin conocer si vino por ruta normal o degradada</w:t>
            </w:r>
          </w:p>
        </w:tc>
        <w:tc>
          <w:tcPr>
            <w:tcW w:w="0" w:type="auto"/>
          </w:tcPr>
          <w:p>
            <w:pPr>
              <w:spacing w:before="20" w:after="20"/>
            </w:pPr>
            <w:r>
              <w:t xml:space="preserve">Mantener p95 &lt; 200 ms durante toda la degradación</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que se agote el depósito de conexiones</w:t>
            </w:r>
          </w:p>
        </w:tc>
        <w:tc>
          <w:tcPr>
            <w:tcW w:w="0" w:type="auto"/>
          </w:tcPr>
          <w:p>
            <w:pPr>
              <w:spacing w:before="20" w:after="20"/>
            </w:pPr>
            <w:r>
              <w:t xml:space="preserve">HTTP con interruptor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sostenga el volumen completo de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bl>
    <w:p>
      <w:r>
        <w:t/>
      </w:r>
    </w:p>
    <w:p>
      <w:r>
        <w:rPr>
          <w:b/>
        </w:rPr>
        <w:t xml:space="preserve">Montaje y medición</w:t>
      </w:r>
    </w:p>
    <w:p>
      <w:r>
        <w:t xml:space="preserve">Sobre el montaje del EXP-01 se inyecta latencia creciente en el simulador hasta superar los 700 ms, sosteniendo una carga de 10× la nominal. Se recorre una rejilla de configuraciones del interruptor variando umbral de fallo y tamaño de ventana, para identificar la combinación que abre a tiempo sin abrir de forma espuria.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JMeter</w:t>
            </w:r>
          </w:p>
        </w:tc>
        <w:tc>
          <w:tcPr>
            <w:tcW w:w="0" w:type="auto"/>
          </w:tcPr>
          <w:p>
            <w:pPr>
              <w:spacing w:before="20" w:after="20"/>
            </w:pPr>
            <w:r>
              <w:t xml:space="preserve">p95 &lt; 200 ms</w:t>
            </w:r>
          </w:p>
        </w:tc>
      </w:tr>
      <w:tr>
        <w:tc>
          <w:tcPr>
            <w:tcW w:w="0" w:type="auto"/>
          </w:tcPr>
          <w:p>
            <w:pPr>
              <w:spacing w:before="20" w:after="20"/>
            </w:pPr>
            <w:r>
              <w:t xml:space="preserve">Peticiones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en operación normal</w:t>
            </w:r>
          </w:p>
        </w:tc>
        <w:tc>
          <w:tcPr>
            <w:tcW w:w="0" w:type="auto"/>
          </w:tcPr>
          <w:p>
            <w:pPr>
              <w:spacing w:before="20" w:after="20"/>
            </w:pPr>
            <w:r>
              <w:t xml:space="preserve">Métrica de estado del interruptor</w:t>
            </w:r>
          </w:p>
        </w:tc>
        <w:tc>
          <w:tcPr>
            <w:tcW w:w="0" w:type="auto"/>
          </w:tcPr>
          <w:p>
            <w:pPr>
              <w:spacing w:before="20" w:after="20"/>
            </w:pPr>
            <w:r>
              <w:t xml:space="preserve">0 en 10 min de carga nominal</w:t>
            </w:r>
          </w:p>
        </w:tc>
      </w:tr>
    </w:tbl>
    <w:p>
      <w:r>
        <w:t/>
      </w:r>
    </w:p>
    <w:p>
      <w:r>
        <w:rPr>
          <w:b/>
        </w:rPr>
        <w:t xml:space="preserve">Resultado esperado y criterio de refutación</w:t>
      </w:r>
    </w:p>
    <w:p>
      <w:r>
        <w:t xml:space="preserve">Se espera identificar al menos una configuración que cumpla las cuatro métricas simultáneamente. La hipótesis queda refutada si ninguna configuración de la rejilla logra abrir a tiempo sin producir aperturas espurias: eso indicaría que el problema no es de calibración sino de dimensionamiento de los depósitos de recursos.</w:t>
      </w:r>
    </w:p>
    <w:p>
      <w:r>
        <w:rPr>
          <w:b/>
        </w:rPr>
        <w:t xml:space="preserve">Decisión alternativa ante resultado adverso</w:t>
      </w:r>
    </w:p>
    <w:p>
      <w:r>
        <w:t xml:space="preserve">Si se refuta, se añade el mamparo de aislamiento (P4) como mecanismo primario en lugar de complementario: se asigna al adaptador Open Finance un depósito de conexiones propio y estrecho, de modo que su saturación sea imposible de propagar aunque el interruptor no abra a tiempo.</w:t>
      </w:r>
    </w:p>
    <w:p>
      <w:r>
        <w:rPr>
          <w:b/>
        </w:rPr>
        <w:t xml:space="preserve">Esfuerzo:</w:t>
      </w:r>
      <w:r>
        <w:t xml:space="preserve"> 12 horas-hombre · </w:t>
      </w:r>
      <w:r>
        <w:rPr>
          <w:b/>
        </w:rPr>
        <w:t xml:space="preserve">Prioridad:</w:t>
      </w:r>
      <w:r>
        <w:t xml:space="preserve"> Alta · </w:t>
      </w:r>
      <w:r>
        <w:rPr>
          <w:b/>
        </w:rPr>
        <w:t xml:space="preserve">Sprint 1 de diseño, semana 5</w:t>
      </w:r>
    </w:p>
    <w:p>
      <w:pPr>
        <w:pStyle w:val="Heading3"/>
      </w:pPr>
      <w:r>
        <w:t xml:space="preserve">5.5 EXP-03 — Absorción del tráfico ante la caída del caché</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HU-ARQ-06 · Tolerancia a fallos y failover (SOL-29)</w:t>
            </w:r>
          </w:p>
        </w:tc>
      </w:tr>
      <w:tr>
        <w:tc>
          <w:tcPr>
            <w:tcW w:w="0" w:type="auto"/>
          </w:tcPr>
          <w:p>
            <w:pPr>
              <w:spacing w:before="20" w:after="20"/>
            </w:pPr>
            <w:r>
              <w:rPr>
                <w:b/>
              </w:rPr>
              <w:t xml:space="preserve">Requisito de calidad objetivo</w:t>
            </w:r>
          </w:p>
        </w:tc>
        <w:tc>
          <w:tcPr>
            <w:tcW w:w="0" w:type="auto"/>
          </w:tcPr>
          <w:p>
            <w:pPr>
              <w:spacing w:before="20" w:after="20"/>
            </w:pPr>
            <w:r>
              <w:t xml:space="preserve">ASR-3.1 — recuperación &lt; 30 s; disponibilidad ≥ 99,9%; cero transacciones activas perdidas</w:t>
            </w:r>
          </w:p>
        </w:tc>
      </w:tr>
      <w:tr>
        <w:tc>
          <w:tcPr>
            <w:tcW w:w="0" w:type="auto"/>
          </w:tcPr>
          <w:p>
            <w:pPr>
              <w:spacing w:before="20" w:after="20"/>
            </w:pPr>
            <w:r>
              <w:rPr>
                <w:b/>
              </w:rPr>
              <w:t xml:space="preserve">Punto de sensibilidad</w:t>
            </w:r>
          </w:p>
        </w:tc>
        <w:tc>
          <w:tcPr>
            <w:tcW w:w="0" w:type="auto"/>
          </w:tcPr>
          <w:p>
            <w:pPr>
              <w:spacing w:before="20" w:after="20"/>
            </w:pPr>
            <w:r>
              <w:t xml:space="preserve">Que la ruta de respaldo hacia PostgreSQL absorba el tráfico que atendía el caché sin propagar la saturación al resto de los servicios</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Cuando Redis cae, el 100% del tráfico que resolvía por caché pasa a PostgreSQL de golpe. El equipo no sabe si el depósito de conexiones dimensionado para operación normal soporta ese salto, ni si la saturación resultante se mantiene confinada al perfilamiento o se propaga a los servicios que comparten la misma base</w:t>
            </w:r>
          </w:p>
        </w:tc>
      </w:tr>
      <w:tr>
        <w:tc>
          <w:tcPr>
            <w:tcW w:w="0" w:type="auto"/>
          </w:tcPr>
          <w:p>
            <w:pPr>
              <w:spacing w:before="20" w:after="20"/>
            </w:pPr>
            <w:r>
              <w:rPr>
                <w:b/>
              </w:rPr>
              <w:t xml:space="preserve">Propósito</w:t>
            </w:r>
          </w:p>
        </w:tc>
        <w:tc>
          <w:tcPr>
            <w:tcW w:w="0" w:type="auto"/>
          </w:tcPr>
          <w:p>
            <w:pPr>
              <w:spacing w:before="20" w:after="20"/>
            </w:pPr>
            <w:r>
              <w:t xml:space="preserve">Verificar que la caída del caché degrada el rendimiento sin interrumpir el servicio, y que el aislamiento por mamparo confina el efecto</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P2 — Interruptor de circuito · P4 — Mamparo de aislamiento</w:t>
            </w:r>
          </w:p>
        </w:tc>
      </w:tr>
      <w:tr>
        <w:tc>
          <w:tcPr>
            <w:tcW w:w="0" w:type="auto"/>
          </w:tcPr>
          <w:p>
            <w:pPr>
              <w:spacing w:before="20" w:after="20"/>
            </w:pPr>
            <w:r>
              <w:t xml:space="preserve">Táctica (disponibilidad)</w:t>
            </w:r>
          </w:p>
        </w:tc>
        <w:tc>
          <w:tcPr>
            <w:tcW w:w="0" w:type="auto"/>
          </w:tcPr>
          <w:p>
            <w:pPr>
              <w:spacing w:before="20" w:after="20"/>
            </w:pPr>
            <w:r>
              <w:t xml:space="preserve">Detección de fallas mediante comprobación de vitalidad</w:t>
            </w:r>
          </w:p>
        </w:tc>
      </w:tr>
      <w:tr>
        <w:tc>
          <w:tcPr>
            <w:tcW w:w="0" w:type="auto"/>
          </w:tcPr>
          <w:p>
            <w:pPr>
              <w:spacing w:before="20" w:after="20"/>
            </w:pPr>
            <w:r>
              <w:t xml:space="preserve">Táctica (disponibilidad)</w:t>
            </w:r>
          </w:p>
        </w:tc>
        <w:tc>
          <w:tcPr>
            <w:tcW w:w="0" w:type="auto"/>
          </w:tcPr>
          <w:p>
            <w:pPr>
              <w:spacing w:before="20" w:after="20"/>
            </w:pPr>
            <w:r>
              <w:t xml:space="preserve">Recuperación mediante degradación a una fuente alternativa</w:t>
            </w:r>
          </w:p>
        </w:tc>
      </w:tr>
      <w:tr>
        <w:tc>
          <w:tcPr>
            <w:tcW w:w="0" w:type="auto"/>
          </w:tcPr>
          <w:p>
            <w:pPr>
              <w:spacing w:before="20" w:after="20"/>
            </w:pPr>
            <w:r>
              <w:t xml:space="preserve">Táctica (disponibilidad)</w:t>
            </w:r>
          </w:p>
        </w:tc>
        <w:tc>
          <w:tcPr>
            <w:tcW w:w="0" w:type="auto"/>
          </w:tcPr>
          <w:p>
            <w:pPr>
              <w:spacing w:before="20" w:after="20"/>
            </w:pPr>
            <w:r>
              <w:t xml:space="preserve">Contención del fallo mediante limitación de recursos compartidos</w:t>
            </w:r>
          </w:p>
        </w:tc>
      </w:tr>
    </w:tbl>
    <w:p>
      <w:r>
        <w:t/>
      </w:r>
    </w:p>
    <w:p>
      <w:r>
        <w:rPr>
          <w:b/>
        </w:rPr>
        <w:t xml:space="preserve">Porción del diseño que se construye</w:t>
      </w:r>
    </w:p>
    <w:p>
      <w:r>
        <w:t xml:space="preserve">Se añade al montaje anterior la ruta de respaldo del perfilamiento hacia PostgreSQL y los depósitos de conexiones separados por dependencia. Se incorpora un segundo servicio —Pólizas— que comparte la base de datos, para poder observar si la saturación se propaga.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y Scoring</w:t>
            </w:r>
          </w:p>
        </w:tc>
        <w:tc>
          <w:tcPr>
            <w:tcW w:w="0" w:type="auto"/>
          </w:tcPr>
          <w:p>
            <w:pPr>
              <w:spacing w:before="20" w:after="20"/>
            </w:pPr>
            <w:r>
              <w:t xml:space="preserve">Detectar la ausencia del caché y conmutar a la fuente primaria</w:t>
            </w:r>
          </w:p>
        </w:tc>
        <w:tc>
          <w:tcPr>
            <w:tcW w:w="0" w:type="auto"/>
          </w:tcPr>
          <w:p>
            <w:pPr>
              <w:spacing w:before="20" w:after="20"/>
            </w:pPr>
            <w:r>
              <w:t xml:space="preserve">Conmutar en menos de 30 s; no perder transacciones en curso</w:t>
            </w:r>
          </w:p>
        </w:tc>
        <w:tc>
          <w:tcPr>
            <w:tcW w:w="0" w:type="auto"/>
          </w:tcPr>
          <w:p>
            <w:pPr>
              <w:spacing w:before="20" w:after="20"/>
            </w:pPr>
            <w:r>
              <w:t xml:space="preserve">Python 3.11 · redis-py con comprobación de salud</w:t>
            </w:r>
          </w:p>
        </w:tc>
      </w:tr>
      <w:tr>
        <w:tc>
          <w:tcPr>
            <w:tcW w:w="0" w:type="auto"/>
          </w:tcPr>
          <w:p>
            <w:pPr>
              <w:spacing w:before="20" w:after="20"/>
            </w:pPr>
            <w:r>
              <w:t xml:space="preserve">Pólizas</w:t>
            </w:r>
          </w:p>
        </w:tc>
        <w:tc>
          <w:tcPr>
            <w:tcW w:w="0" w:type="auto"/>
          </w:tcPr>
          <w:p>
            <w:pPr>
              <w:spacing w:before="20" w:after="20"/>
            </w:pPr>
            <w:r>
              <w:t xml:space="preserve">Servir como testigo de propagación del fallo</w:t>
            </w:r>
          </w:p>
        </w:tc>
        <w:tc>
          <w:tcPr>
            <w:tcW w:w="0" w:type="auto"/>
          </w:tcPr>
          <w:p>
            <w:pPr>
              <w:spacing w:before="20" w:after="20"/>
            </w:pPr>
            <w:r>
              <w:t xml:space="preserve">Mantener su latencia y su tasa de error sin alteración durante todo el incidente</w:t>
            </w:r>
          </w:p>
        </w:tc>
        <w:tc>
          <w:tcPr>
            <w:tcW w:w="0" w:type="auto"/>
          </w:tcPr>
          <w:p>
            <w:pPr>
              <w:spacing w:before="20" w:after="20"/>
            </w:pPr>
            <w:r>
              <w:t xml:space="preserve">Python 3.11 · Flask</w:t>
            </w:r>
          </w:p>
        </w:tc>
      </w:tr>
      <w:tr>
        <w:tc>
          <w:tcPr>
            <w:tcW w:w="0" w:type="auto"/>
          </w:tcPr>
          <w:p>
            <w:pPr>
              <w:spacing w:before="20" w:after="20"/>
            </w:pPr>
            <w:r>
              <w:t xml:space="preserve">Cotización y Rating</w:t>
            </w:r>
          </w:p>
        </w:tc>
        <w:tc>
          <w:tcPr>
            <w:tcW w:w="0" w:type="auto"/>
          </w:tcPr>
          <w:p>
            <w:pPr>
              <w:spacing w:before="20" w:after="20"/>
            </w:pPr>
            <w:r>
              <w:t xml:space="preserve">Sostener el flujo de usuario durante la conmutación</w:t>
            </w:r>
          </w:p>
        </w:tc>
        <w:tc>
          <w:tcPr>
            <w:tcW w:w="0" w:type="auto"/>
          </w:tcPr>
          <w:p>
            <w:pPr>
              <w:spacing w:before="20" w:after="20"/>
            </w:pPr>
            <w:r>
              <w:t xml:space="preserve">Degradar la latencia de forma acotada y transitoria, sin errores</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Caché</w:t>
            </w:r>
          </w:p>
        </w:tc>
        <w:tc>
          <w:tcPr>
            <w:tcW w:w="0" w:type="auto"/>
          </w:tcPr>
          <w:p>
            <w:pPr>
              <w:spacing w:before="20" w:after="20"/>
            </w:pPr>
            <w:r>
              <w:t xml:space="preserve">Que la pérdida de conexión se detecte rápido y no quede esperando</w:t>
            </w:r>
          </w:p>
        </w:tc>
        <w:tc>
          <w:tcPr>
            <w:tcW w:w="0" w:type="auto"/>
          </w:tcPr>
          <w:p>
            <w:pPr>
              <w:spacing w:before="20" w:after="20"/>
            </w:pPr>
            <w:r>
              <w:t xml:space="preserve">redis-py con tiempo de espera de conexión corto</w:t>
            </w:r>
          </w:p>
        </w:tc>
      </w:tr>
      <w:tr>
        <w:tc>
          <w:tcPr>
            <w:tcW w:w="0" w:type="auto"/>
          </w:tcPr>
          <w:p>
            <w:pPr>
              <w:spacing w:before="20" w:after="20"/>
            </w:pPr>
            <w:r>
              <w:t xml:space="preserve">Perfilamiento → Base de datos</w:t>
            </w:r>
          </w:p>
        </w:tc>
        <w:tc>
          <w:tcPr>
            <w:tcW w:w="0" w:type="auto"/>
          </w:tcPr>
          <w:p>
            <w:pPr>
              <w:spacing w:before="20" w:after="20"/>
            </w:pPr>
            <w:r>
              <w:t xml:space="preserve">Que el depósito absorba el tráfico redirigido sin agotarse</w:t>
            </w:r>
          </w:p>
        </w:tc>
        <w:tc>
          <w:tcPr>
            <w:tcW w:w="0" w:type="auto"/>
          </w:tcPr>
          <w:p>
            <w:pPr>
              <w:spacing w:before="20" w:after="20"/>
            </w:pPr>
            <w:r>
              <w:t xml:space="preserve">psycopg con depósito dedicado y dimensionado para el pico</w:t>
            </w:r>
          </w:p>
        </w:tc>
      </w:tr>
      <w:tr>
        <w:tc>
          <w:tcPr>
            <w:tcW w:w="0" w:type="auto"/>
          </w:tcPr>
          <w:p>
            <w:pPr>
              <w:spacing w:before="20" w:after="20"/>
            </w:pPr>
            <w:r>
              <w:t xml:space="preserve">Pólizas → Base de datos</w:t>
            </w:r>
          </w:p>
        </w:tc>
        <w:tc>
          <w:tcPr>
            <w:tcW w:w="0" w:type="auto"/>
          </w:tcPr>
          <w:p>
            <w:pPr>
              <w:spacing w:before="20" w:after="20"/>
            </w:pPr>
            <w:r>
              <w:t xml:space="preserve">Que su depósito, separado del anterior, permanezca intacto</w:t>
            </w:r>
          </w:p>
        </w:tc>
        <w:tc>
          <w:tcPr>
            <w:tcW w:w="0" w:type="auto"/>
          </w:tcPr>
          <w:p>
            <w:pPr>
              <w:spacing w:before="20" w:after="20"/>
            </w:pPr>
            <w:r>
              <w:t xml:space="preserve">psycopg con depósito independiente</w:t>
            </w:r>
          </w:p>
        </w:tc>
      </w:tr>
    </w:tbl>
    <w:p>
      <w:r>
        <w:t/>
      </w:r>
    </w:p>
    <w:p>
      <w:r>
        <w:rPr>
          <w:b/>
        </w:rPr>
        <w:t xml:space="preserve">Montaje y medición</w:t>
      </w:r>
    </w:p>
    <w:p>
      <w:r>
        <w:t xml:space="preserve">Carga sostenida nominal sobre cotización y sobre pólizas simultáneamente. Se detiene el contenedor de Redis a mitad del ensayo y se reinicia dos minutos después. Se registra el comportamiento de ambos servicios durante todo el ciclo.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conmutación a la fuente primaria</w:t>
            </w:r>
          </w:p>
        </w:tc>
        <w:tc>
          <w:tcPr>
            <w:tcW w:w="0" w:type="auto"/>
          </w:tcPr>
          <w:p>
            <w:pPr>
              <w:spacing w:before="20" w:after="20"/>
            </w:pPr>
            <w:r>
              <w:t xml:space="preserve">Trazas y registros del servicio</w:t>
            </w:r>
          </w:p>
        </w:tc>
        <w:tc>
          <w:tcPr>
            <w:tcW w:w="0" w:type="auto"/>
          </w:tcPr>
          <w:p>
            <w:pPr>
              <w:spacing w:before="20" w:after="20"/>
            </w:pPr>
            <w:r>
              <w:t xml:space="preserve">&lt; 30 s</w:t>
            </w:r>
          </w:p>
        </w:tc>
      </w:tr>
      <w:tr>
        <w:tc>
          <w:tcPr>
            <w:tcW w:w="0" w:type="auto"/>
          </w:tcPr>
          <w:p>
            <w:pPr>
              <w:spacing w:before="20" w:after="20"/>
            </w:pPr>
            <w:r>
              <w:t xml:space="preserve">Transacciones activas perdidas</w:t>
            </w:r>
          </w:p>
        </w:tc>
        <w:tc>
          <w:tcPr>
            <w:tcW w:w="0" w:type="auto"/>
          </w:tcPr>
          <w:p>
            <w:pPr>
              <w:spacing w:before="20" w:after="20"/>
            </w:pPr>
            <w:r>
              <w:t xml:space="preserve">Conciliación de peticiones enviadas contra confirmadas</w:t>
            </w:r>
          </w:p>
        </w:tc>
        <w:tc>
          <w:tcPr>
            <w:tcW w:w="0" w:type="auto"/>
          </w:tcPr>
          <w:p>
            <w:pPr>
              <w:spacing w:before="20" w:after="20"/>
            </w:pPr>
            <w:r>
              <w:t xml:space="preserve">0</w:t>
            </w:r>
          </w:p>
        </w:tc>
      </w:tr>
      <w:tr>
        <w:tc>
          <w:tcPr>
            <w:tcW w:w="0" w:type="auto"/>
          </w:tcPr>
          <w:p>
            <w:pPr>
              <w:spacing w:before="20" w:after="20"/>
            </w:pPr>
            <w:r>
              <w:t xml:space="preserve">Disponibilidad en la ventana medida</w:t>
            </w:r>
          </w:p>
        </w:tc>
        <w:tc>
          <w:tcPr>
            <w:tcW w:w="0" w:type="auto"/>
          </w:tcPr>
          <w:p>
            <w:pPr>
              <w:spacing w:before="20" w:after="20"/>
            </w:pPr>
            <w:r>
              <w:t xml:space="preserve">JMeter</w:t>
            </w:r>
          </w:p>
        </w:tc>
        <w:tc>
          <w:tcPr>
            <w:tcW w:w="0" w:type="auto"/>
          </w:tcPr>
          <w:p>
            <w:pPr>
              <w:spacing w:before="20" w:after="20"/>
            </w:pPr>
            <w:r>
              <w:t xml:space="preserve">≥ 99,9%</w:t>
            </w:r>
          </w:p>
        </w:tc>
      </w:tr>
      <w:tr>
        <w:tc>
          <w:tcPr>
            <w:tcW w:w="0" w:type="auto"/>
          </w:tcPr>
          <w:p>
            <w:pPr>
              <w:spacing w:before="20" w:after="20"/>
            </w:pPr>
            <w:r>
              <w:t xml:space="preserve">Latencia y errores del servicio testigo</w:t>
            </w:r>
          </w:p>
        </w:tc>
        <w:tc>
          <w:tcPr>
            <w:tcW w:w="0" w:type="auto"/>
          </w:tcPr>
          <w:p>
            <w:pPr>
              <w:spacing w:before="20" w:after="20"/>
            </w:pPr>
            <w:r>
              <w:t xml:space="preserve">JMeter</w:t>
            </w:r>
          </w:p>
        </w:tc>
        <w:tc>
          <w:tcPr>
            <w:tcW w:w="0" w:type="auto"/>
          </w:tcPr>
          <w:p>
            <w:pPr>
              <w:spacing w:before="20" w:after="20"/>
            </w:pPr>
            <w:r>
              <w:t xml:space="preserve">Sin alteración significativa</w:t>
            </w:r>
          </w:p>
        </w:tc>
      </w:tr>
    </w:tbl>
    <w:p>
      <w:r>
        <w:t/>
      </w:r>
    </w:p>
    <w:p>
      <w:r>
        <w:rPr>
          <w:b/>
        </w:rPr>
        <w:t xml:space="preserve">Resultado esperado y criterio de refutación</w:t>
      </w:r>
    </w:p>
    <w:p>
      <w:r>
        <w:t xml:space="preserve">Se espera conmutación por debajo de 30 s, cero transacciones perdidas y un servicio testigo sin afectación. La hipótesis queda refutada si el servicio de Pólizas se degrada: eso demostraría que el aislamiento por mamparo no está operando y que el fallo se propaga por el recurso compartido.</w:t>
      </w:r>
    </w:p>
    <w:p>
      <w:r>
        <w:rPr>
          <w:b/>
        </w:rPr>
        <w:t xml:space="preserve">Decisión alternativa ante resultado adverso</w:t>
      </w:r>
    </w:p>
    <w:p>
      <w:r>
        <w:t xml:space="preserve">Si se refuta, se separa físicamente el acceso a datos: el perfilamiento deja de compartir instancia de base de datos con el resto y pasa a tener la suya, convirtiendo el aislamiento lógico en aislamiento de infraestructura.</w:t>
      </w:r>
    </w:p>
    <w:p>
      <w:r>
        <w:rPr>
          <w:b/>
        </w:rPr>
        <w:t xml:space="preserve">Esfuerzo:</w:t>
      </w:r>
      <w:r>
        <w:t xml:space="preserve"> 8 horas-hombre · </w:t>
      </w:r>
      <w:r>
        <w:rPr>
          <w:b/>
        </w:rPr>
        <w:t xml:space="preserve">Prioridad:</w:t>
      </w:r>
      <w:r>
        <w:t xml:space="preserve"> Alta · </w:t>
      </w:r>
      <w:r>
        <w:rPr>
          <w:b/>
        </w:rPr>
        <w:t xml:space="preserve">Sprint 1 de diseño, semana 6</w:t>
      </w:r>
    </w:p>
    <w:p>
      <w:pPr>
        <w:pStyle w:val="Heading3"/>
      </w:pPr>
      <w:r>
        <w:t xml:space="preserve">5.6 EXP-04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HU-ARQ-03 · Tokenización de PII y trazabilidad (SOL-23)</w:t>
            </w:r>
          </w:p>
        </w:tc>
      </w:tr>
      <w:tr>
        <w:tc>
          <w:tcPr>
            <w:tcW w:w="0" w:type="auto"/>
          </w:tcPr>
          <w:p>
            <w:pPr>
              <w:spacing w:before="20" w:after="20"/>
            </w:pPr>
            <w:r>
              <w:rPr>
                <w:b/>
              </w:rPr>
              <w:t xml:space="preserve">Requisito de calidad objetivo</w:t>
            </w:r>
          </w:p>
        </w:tc>
        <w:tc>
          <w:tcPr>
            <w:tcW w:w="0" w:type="auto"/>
          </w:tcPr>
          <w:p>
            <w:pPr>
              <w:spacing w:before="20" w:after="20"/>
            </w:pPr>
            <w:r>
              <w:t xml:space="preserve">ASR-4.1 — 100% TLS 1.3; 100% de campos personales tokenizados; cero datos personales en texto plano</w:t>
            </w:r>
          </w:p>
        </w:tc>
      </w:tr>
      <w:tr>
        <w:tc>
          <w:tcPr>
            <w:tcW w:w="0" w:type="auto"/>
          </w:tcPr>
          <w:p>
            <w:pPr>
              <w:spacing w:before="20" w:after="20"/>
            </w:pPr>
            <w:r>
              <w:rPr>
                <w:b/>
              </w:rPr>
              <w:t xml:space="preserve">Punto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La decisión tiene dos riesgos que el equipo no puede resolver en el papel. El primero es de rendimiento: el servicio de tokenización es un salto adicional y un punto único, y no se sabe cuánto añade al camino crítico. El segundo es de hermeticidad: el diseño afirma que el dato original no sale del servicio custodio, pero esa afirmación solo se puede sostener inspeccionando lo que realmente circula y se persiste</w:t>
            </w:r>
          </w:p>
        </w:tc>
      </w:tr>
      <w:tr>
        <w:tc>
          <w:tcPr>
            <w:tcW w:w="0" w:type="auto"/>
          </w:tcPr>
          <w:p>
            <w:pPr>
              <w:spacing w:before="20" w:after="20"/>
            </w:pPr>
            <w:r>
              <w:rPr>
                <w:b/>
              </w:rPr>
              <w:t xml:space="preserve">Propósito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P9 — Tokenización de datos sensibles</w:t>
            </w:r>
          </w:p>
        </w:tc>
      </w:tr>
      <w:tr>
        <w:tc>
          <w:tcPr>
            <w:tcW w:w="0" w:type="auto"/>
          </w:tcPr>
          <w:p>
            <w:pPr>
              <w:spacing w:before="20" w:after="20"/>
            </w:pPr>
            <w:r>
              <w:t xml:space="preserve">Táctica (seguridad)</w:t>
            </w:r>
          </w:p>
        </w:tc>
        <w:tc>
          <w:tcPr>
            <w:tcW w:w="0" w:type="auto"/>
          </w:tcPr>
          <w:p>
            <w:pPr>
              <w:spacing w:before="20" w:after="20"/>
            </w:pPr>
            <w:r>
              <w:t xml:space="preserve">Limitar el acceso mediante custodia centralizada</w:t>
            </w:r>
          </w:p>
        </w:tc>
      </w:tr>
      <w:tr>
        <w:tc>
          <w:tcPr>
            <w:tcW w:w="0" w:type="auto"/>
          </w:tcPr>
          <w:p>
            <w:pPr>
              <w:spacing w:before="20" w:after="20"/>
            </w:pPr>
            <w:r>
              <w:t xml:space="preserve">Táctica (seguridad)</w:t>
            </w:r>
          </w:p>
        </w:tc>
        <w:tc>
          <w:tcPr>
            <w:tcW w:w="0" w:type="auto"/>
          </w:tcPr>
          <w:p>
            <w:pPr>
              <w:spacing w:before="20" w:after="20"/>
            </w:pPr>
            <w:r>
              <w:t xml:space="preserve">Cifrar los datos en tránsito y en reposo</w:t>
            </w:r>
          </w:p>
        </w:tc>
      </w:tr>
      <w:tr>
        <w:tc>
          <w:tcPr>
            <w:tcW w:w="0" w:type="auto"/>
          </w:tcPr>
          <w:p>
            <w:pPr>
              <w:spacing w:before="20" w:after="20"/>
            </w:pPr>
            <w:r>
              <w:t xml:space="preserve">Táctica (seguridad)</w:t>
            </w:r>
          </w:p>
        </w:tc>
        <w:tc>
          <w:tcPr>
            <w:tcW w:w="0" w:type="auto"/>
          </w:tcPr>
          <w:p>
            <w:pPr>
              <w:spacing w:before="20" w:after="20"/>
            </w:pPr>
            <w:r>
              <w:t xml:space="preserve">Registrar la auditoría de cada acceso al dato original</w:t>
            </w:r>
          </w:p>
        </w:tc>
      </w:tr>
    </w:tbl>
    <w:p>
      <w:r>
        <w:t/>
      </w:r>
    </w:p>
    <w:p>
      <w:r>
        <w:rPr>
          <w:b/>
        </w:rPr>
        <w:t xml:space="preserve">Porción del diseño que se construye</w:t>
      </w:r>
    </w:p>
    <w:p>
      <w:r>
        <w:t xml:space="preserve">Se implementa el servicio de tokenización real y se integra en el recorrido completo de cotización, incluyendo el paso de consentimiento. Se siembran datos cebo con patrones reconocibles para poder rastrearlos por todo el sistema.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Custodiar el dato original y entregar tokens sin valor fuera del sistema</w:t>
            </w:r>
          </w:p>
        </w:tc>
        <w:tc>
          <w:tcPr>
            <w:tcW w:w="0" w:type="auto"/>
          </w:tcPr>
          <w:p>
            <w:pPr>
              <w:spacing w:before="20" w:after="20"/>
            </w:pPr>
            <w:r>
              <w:t xml:space="preserve">Tokenizar en menos de 15 ms; registrar en auditoría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Perfilamiento y Scoring</w:t>
            </w:r>
          </w:p>
        </w:tc>
        <w:tc>
          <w:tcPr>
            <w:tcW w:w="0" w:type="auto"/>
          </w:tcPr>
          <w:p>
            <w:pPr>
              <w:spacing w:before="20" w:after="20"/>
            </w:pPr>
            <w:r>
              <w:t xml:space="preserve">Operar exclusivamente sobre el perfil derivado, sin necesitar el dato original</w:t>
            </w:r>
          </w:p>
        </w:tc>
        <w:tc>
          <w:tcPr>
            <w:tcW w:w="0" w:type="auto"/>
          </w:tcPr>
          <w:p>
            <w:pPr>
              <w:spacing w:before="20" w:after="20"/>
            </w:pPr>
            <w:r>
              <w:t xml:space="preserve">No solicitar destokenización en el camino crítico de cotización</w:t>
            </w:r>
          </w:p>
        </w:tc>
        <w:tc>
          <w:tcPr>
            <w:tcW w:w="0" w:type="auto"/>
          </w:tcPr>
          <w:p>
            <w:pPr>
              <w:spacing w:before="20" w:after="20"/>
            </w:pPr>
            <w:r>
              <w:t xml:space="preserve">Python 3.11 · Flask</w:t>
            </w:r>
          </w:p>
        </w:tc>
      </w:tr>
      <w:tr>
        <w:tc>
          <w:tcPr>
            <w:tcW w:w="0" w:type="auto"/>
          </w:tcPr>
          <w:p>
            <w:pPr>
              <w:spacing w:before="20" w:after="20"/>
            </w:pPr>
            <w:r>
              <w:t xml:space="preserve">Consentimientos y Auditoría</w:t>
            </w:r>
          </w:p>
        </w:tc>
        <w:tc>
          <w:tcPr>
            <w:tcW w:w="0" w:type="auto"/>
          </w:tcPr>
          <w:p>
            <w:pPr>
              <w:spacing w:before="20" w:after="20"/>
            </w:pPr>
            <w:r>
              <w:t xml:space="preserve">Registrar el consentimiento y permitir su revocación</w:t>
            </w:r>
          </w:p>
        </w:tc>
        <w:tc>
          <w:tcPr>
            <w:tcW w:w="0" w:type="auto"/>
          </w:tcPr>
          <w:p>
            <w:pPr>
              <w:spacing w:before="20" w:after="20"/>
            </w:pPr>
            <w:r>
              <w:t xml:space="preserve">Que la revocación invalide la destokenización en menos de 5 min</w:t>
            </w:r>
          </w:p>
        </w:tc>
        <w:tc>
          <w:tcPr>
            <w:tcW w:w="0" w:type="auto"/>
          </w:tcPr>
          <w:p>
            <w:pPr>
              <w:spacing w:before="20" w:after="20"/>
            </w:pPr>
            <w:r>
              <w:t xml:space="preserve">Python 3.11 · Flask · PostgreSQL</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con depósito de conexiones</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con inspección de los mensajes de los temas</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directa de los volcados</w:t>
            </w:r>
          </w:p>
        </w:tc>
      </w:tr>
    </w:tbl>
    <w:p>
      <w:r>
        <w:t/>
      </w:r>
    </w:p>
    <w:p>
      <w:r>
        <w:rPr>
          <w:b/>
        </w:rPr>
        <w:t xml:space="preserve">Montaje y medición</w:t>
      </w:r>
    </w:p>
    <w:p>
      <w:r>
        <w:t xml:space="preserve">Se ejecuta el recorrido completo de cotización con datos cebo. Se captura el tráfico entre servicios, se vuelcan las tablas de PostgreSQL y se consumen los mensajes de todos los temas de Kafka. Se buscan los patrones cebo en cada uno de esos artefactos.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servicio custodio</w:t>
            </w:r>
          </w:p>
        </w:tc>
        <w:tc>
          <w:tcPr>
            <w:tcW w:w="0" w:type="auto"/>
          </w:tcPr>
          <w:p>
            <w:pPr>
              <w:spacing w:before="20" w:after="20"/>
            </w:pPr>
            <w:r>
              <w:t xml:space="preserve">Búsqueda sobre volcados, tráfico y mensajes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Captura de tráfico · OWASP ZAP</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cada acceso, sin excepción</w:t>
            </w:r>
          </w:p>
        </w:tc>
      </w:tr>
    </w:tbl>
    <w:p>
      <w:r>
        <w:t/>
      </w:r>
    </w:p>
    <w:p>
      <w:r>
        <w:rPr>
          <w:b/>
        </w:rPr>
        <w:t xml:space="preserve">Resultado esperado y criterio de refutación</w:t>
      </w:r>
    </w:p>
    <w:p>
      <w:r>
        <w:t xml:space="preserve">Se espera cero coincidencias fuera del servicio custodio. Una sola coincidencia en un volcado, en un mensaje del bus o en el tráfico refuta la hipótesis e identifica el punto exacto de fuga, que es precisamente el valor del experimento.</w:t>
      </w:r>
    </w:p>
    <w:p>
      <w:r>
        <w:rPr>
          <w:b/>
        </w:rPr>
        <w:t xml:space="preserve">Decisión alternativa ante resultado adverso</w:t>
      </w:r>
    </w:p>
    <w:p>
      <w:r>
        <w:t xml:space="preserve">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dentro del servicio consumidor, aceptando explícitamente el aumento de superficie de exposición.</w:t>
      </w:r>
    </w:p>
    <w:p>
      <w:r>
        <w:rPr>
          <w:b/>
        </w:rPr>
        <w:t xml:space="preserve">Esfuerzo:</w:t>
      </w:r>
      <w:r>
        <w:t xml:space="preserve"> 12 horas-hombre · </w:t>
      </w:r>
      <w:r>
        <w:rPr>
          <w:b/>
        </w:rPr>
        <w:t xml:space="preserve">Prioridad:</w:t>
      </w:r>
      <w:r>
        <w:t xml:space="preserve"> Alta · </w:t>
      </w:r>
      <w:r>
        <w:rPr>
          <w:b/>
        </w:rPr>
        <w:t xml:space="preserve">Sprint 1 de diseño, semana 6</w:t>
      </w:r>
    </w:p>
    <w:p>
      <w:pPr>
        <w:pStyle w:val="Heading3"/>
      </w:pPr>
      <w:r>
        <w:t xml:space="preserve">5.7 Ficha consolidada de tecnología</w:t>
      </w:r>
    </w:p>
    <w:p>
      <w:r>
        <w:t xml:space="preserve">Esta es la tecnología completa requerida para ejecutar el Sprint 1 de diseño.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Uso en los experimentos</w:t>
            </w:r>
          </w:p>
        </w:tc>
        <w:tc>
          <w:tcPr>
            <w:tcW w:w="0" w:type="auto"/>
            <w:shd w:val="clear" w:fill="EDF2F7"/>
          </w:tcPr>
          <w:p>
            <w:pPr>
              <w:spacing w:before="20" w:after="20"/>
            </w:pPr>
            <w:r>
              <w:rPr>
                <w:b/>
              </w:rPr>
              <w:t xml:space="preserve">Familiaridad del equipo</w:t>
            </w:r>
          </w:p>
        </w:tc>
      </w:tr>
      <w:tr>
        <w:tc>
          <w:tcPr>
            <w:tcW w:w="0" w:type="auto"/>
          </w:tcPr>
          <w:p>
            <w:pPr>
              <w:spacing w:before="20" w:after="20"/>
            </w:pPr>
            <w:r>
              <w:t xml:space="preserve">Lenguaje y marco</w:t>
            </w:r>
          </w:p>
        </w:tc>
        <w:tc>
          <w:tcPr>
            <w:tcW w:w="0" w:type="auto"/>
          </w:tcPr>
          <w:p>
            <w:pPr>
              <w:spacing w:before="20" w:after="20"/>
            </w:pPr>
            <w:r>
              <w:t xml:space="preserve">Python 3.11 · Flask</w:t>
            </w:r>
          </w:p>
        </w:tc>
        <w:tc>
          <w:tcPr>
            <w:tcW w:w="0" w:type="auto"/>
          </w:tcPr>
          <w:p>
            <w:pPr>
              <w:spacing w:before="20" w:after="20"/>
            </w:pPr>
            <w:r>
              <w:t xml:space="preserve">Implementación de los cuatro microservicios</w:t>
            </w:r>
          </w:p>
        </w:tc>
        <w:tc>
          <w:tcPr>
            <w:tcW w:w="0" w:type="auto"/>
          </w:tcPr>
          <w:p>
            <w:pPr>
              <w:spacing w:before="20" w:after="20"/>
            </w:pPr>
            <w:r>
              <w:t xml:space="preserve">Alta</w:t>
            </w:r>
          </w:p>
        </w:tc>
      </w:tr>
      <w:tr>
        <w:tc>
          <w:tcPr>
            <w:tcW w:w="0" w:type="auto"/>
          </w:tcPr>
          <w:p>
            <w:pPr>
              <w:spacing w:before="20" w:after="20"/>
            </w:pPr>
            <w:r>
              <w:t xml:space="preserve">Servidor de aplicación</w:t>
            </w:r>
          </w:p>
        </w:tc>
        <w:tc>
          <w:tcPr>
            <w:tcW w:w="0" w:type="auto"/>
          </w:tcPr>
          <w:p>
            <w:pPr>
              <w:spacing w:before="20" w:after="20"/>
            </w:pPr>
            <w:r>
              <w:t xml:space="preserve">Gunicorn con trabajadores concurrentes</w:t>
            </w:r>
          </w:p>
        </w:tc>
        <w:tc>
          <w:tcPr>
            <w:tcW w:w="0" w:type="auto"/>
          </w:tcPr>
          <w:p>
            <w:pPr>
              <w:spacing w:before="20" w:after="20"/>
            </w:pPr>
            <w:r>
              <w:t xml:space="preserve">Servir los microservicios bajo carga</w:t>
            </w:r>
          </w:p>
        </w:tc>
        <w:tc>
          <w:tcPr>
            <w:tcW w:w="0" w:type="auto"/>
          </w:tcPr>
          <w:p>
            <w:pPr>
              <w:spacing w:before="20" w:after="20"/>
            </w:pPr>
            <w:r>
              <w:t xml:space="preserve">Media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Persistencia transaccional; fuente de respaldo en EXP-03</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Perfiles de riesgo; objeto de la falla inducida en EXP-03</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en modo sin coordinador externo</w:t>
            </w:r>
          </w:p>
        </w:tc>
        <w:tc>
          <w:tcPr>
            <w:tcW w:w="0" w:type="auto"/>
          </w:tcPr>
          <w:p>
            <w:pPr>
              <w:spacing w:before="20" w:after="20"/>
            </w:pPr>
            <w:r>
              <w:t xml:space="preserve">Inspección de mensajes en EXP-04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 de conexiones</w:t>
            </w:r>
          </w:p>
        </w:tc>
        <w:tc>
          <w:tcPr>
            <w:tcW w:w="0" w:type="auto"/>
          </w:tcPr>
          <w:p>
            <w:pPr>
              <w:spacing w:before="20" w:after="20"/>
            </w:pPr>
            <w:r>
              <w:t xml:space="preserve">Conectores hacia PostgreSQL; aislamiento por mamparo</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Conector hacia Redis</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Adaptadores hacia proveedores externos</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Mecanismo bajo prueba en EXP-02</w:t>
            </w:r>
          </w:p>
        </w:tc>
        <w:tc>
          <w:tcPr>
            <w:tcW w:w="0" w:type="auto"/>
          </w:tcPr>
          <w:p>
            <w:pPr>
              <w:spacing w:before="20" w:after="20"/>
            </w:pPr>
            <w:r>
              <w:t xml:space="preserve">Baja — se reserva tiempo de aprendizaje</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Entorno completo de los experimentos</w:t>
            </w:r>
          </w:p>
        </w:tc>
        <w:tc>
          <w:tcPr>
            <w:tcW w:w="0" w:type="auto"/>
          </w:tcPr>
          <w:p>
            <w:pPr>
              <w:spacing w:before="20" w:after="20"/>
            </w:pPr>
            <w:r>
              <w:t xml:space="preserve">Alta</w:t>
            </w:r>
          </w:p>
        </w:tc>
      </w:tr>
      <w:tr>
        <w:tc>
          <w:tcPr>
            <w:tcW w:w="0" w:type="auto"/>
          </w:tcPr>
          <w:p>
            <w:pPr>
              <w:spacing w:before="20" w:after="20"/>
            </w:pPr>
            <w:r>
              <w:t xml:space="preserve">Generación de carga</w:t>
            </w:r>
          </w:p>
        </w:tc>
        <w:tc>
          <w:tcPr>
            <w:tcW w:w="0" w:type="auto"/>
          </w:tcPr>
          <w:p>
            <w:pPr>
              <w:spacing w:before="20" w:after="20"/>
            </w:pPr>
            <w:r>
              <w:t xml:space="preserve">Apache JMeter</w:t>
            </w:r>
          </w:p>
        </w:tc>
        <w:tc>
          <w:tcPr>
            <w:tcW w:w="0" w:type="auto"/>
          </w:tcPr>
          <w:p>
            <w:pPr>
              <w:spacing w:before="20" w:after="20"/>
            </w:pPr>
            <w:r>
              <w:t xml:space="preserve">Carga y medición de percentiles en EXP-01, 02 y 03</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Simulador HTTP con latencia controlada</w:t>
            </w:r>
          </w:p>
        </w:tc>
        <w:tc>
          <w:tcPr>
            <w:tcW w:w="0" w:type="auto"/>
          </w:tcPr>
          <w:p>
            <w:pPr>
              <w:spacing w:before="20" w:after="20"/>
            </w:pPr>
            <w:r>
              <w:t xml:space="preserve">Open Finance degradado en EXP-01 y 02</w:t>
            </w:r>
          </w:p>
        </w:tc>
        <w:tc>
          <w:tcPr>
            <w:tcW w:w="0" w:type="auto"/>
          </w:tcPr>
          <w:p>
            <w:pPr>
              <w:spacing w:before="20" w:after="20"/>
            </w:pPr>
            <w:r>
              <w:t xml:space="preserve">Media</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Atribución de latencia por componente</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Verificación de TLS en EXP-04</w:t>
            </w:r>
          </w:p>
        </w:tc>
        <w:tc>
          <w:tcPr>
            <w:tcW w:w="0" w:type="auto"/>
          </w:tcPr>
          <w:p>
            <w:pPr>
              <w:spacing w:before="20" w:after="20"/>
            </w:pPr>
            <w:r>
              <w:t xml:space="preserve">Media</w:t>
            </w:r>
          </w:p>
        </w:tc>
      </w:tr>
      <w:tr>
        <w:tc>
          <w:tcPr>
            <w:tcW w:w="0" w:type="auto"/>
          </w:tcPr>
          <w:p>
            <w:pPr>
              <w:spacing w:before="20" w:after="20"/>
            </w:pPr>
            <w:r>
              <w:t xml:space="preserve">Inspección de datos</w:t>
            </w:r>
          </w:p>
        </w:tc>
        <w:tc>
          <w:tcPr>
            <w:tcW w:w="0" w:type="auto"/>
          </w:tcPr>
          <w:p>
            <w:pPr>
              <w:spacing w:before="20" w:after="20"/>
            </w:pPr>
            <w:r>
              <w:t xml:space="preserve">Consultas de verificación · consumidor de inspección de temas</w:t>
            </w:r>
          </w:p>
        </w:tc>
        <w:tc>
          <w:tcPr>
            <w:tcW w:w="0" w:type="auto"/>
          </w:tcPr>
          <w:p>
            <w:pPr>
              <w:spacing w:before="20" w:after="20"/>
            </w:pPr>
            <w:r>
              <w:t xml:space="preserve">Búsqueda de datos cebo en EXP-04</w:t>
            </w:r>
          </w:p>
        </w:tc>
        <w:tc>
          <w:tcPr>
            <w:tcW w:w="0" w:type="auto"/>
          </w:tcPr>
          <w:p>
            <w:pPr>
              <w:spacing w:before="20" w:after="20"/>
            </w:pPr>
            <w:r>
              <w:t xml:space="preserve">Alta</w:t>
            </w:r>
          </w:p>
        </w:tc>
      </w:tr>
      <w:tr>
        <w:tc>
          <w:tcPr>
            <w:tcW w:w="0" w:type="auto"/>
          </w:tcPr>
          <w:p>
            <w:pPr>
              <w:spacing w:before="20" w:after="20"/>
            </w:pPr>
            <w:r>
              <w:t xml:space="preserve">Cifrado y llaves</w:t>
            </w:r>
          </w:p>
        </w:tc>
        <w:tc>
          <w:tcPr>
            <w:tcW w:w="0" w:type="auto"/>
          </w:tcPr>
          <w:p>
            <w:pPr>
              <w:spacing w:before="20" w:after="20"/>
            </w:pPr>
            <w:r>
              <w:t xml:space="preserve">Servicio de gestión de llaves</w:t>
            </w:r>
          </w:p>
        </w:tc>
        <w:tc>
          <w:tcPr>
            <w:tcW w:w="0" w:type="auto"/>
          </w:tcPr>
          <w:p>
            <w:pPr>
              <w:spacing w:before="20" w:after="20"/>
            </w:pPr>
            <w:r>
              <w:t xml:space="preserve">Cifrado del dato custodiado en EXP-04</w:t>
            </w:r>
          </w:p>
        </w:tc>
        <w:tc>
          <w:tcPr>
            <w:tcW w:w="0" w:type="auto"/>
          </w:tcPr>
          <w:p>
            <w:pPr>
              <w:spacing w:before="20" w:after="20"/>
            </w:pPr>
            <w:r>
              <w:t xml:space="preserve">Baja — se reserva tiempo de aprendizaje</w:t>
            </w:r>
          </w:p>
        </w:tc>
      </w:tr>
    </w:tbl>
    <w:p>
      <w:r>
        <w:t/>
      </w:r>
    </w:p>
    <w:p>
      <w:pPr>
        <w:pStyle w:val="Heading3"/>
      </w:pPr>
      <w:r>
        <w:t xml:space="preserve">5.8 Distribución de actividades por integrante</w:t>
      </w:r>
    </w:p>
    <w:p>
      <w:r>
        <w:t xml:space="preserve">Las 42 horas del Sprint 1 de diseño se reparten de forma equitativa entre los cuatro integrantes, asignando a cada uno las actividades más cercanas a su rol pero sin dejar a nadie fuera de la construcción.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de circuito recorriendo la rejilla de configuraciones; ejecutar la verificación de TLS y la búsqueda de datos cebo</w:t>
            </w:r>
          </w:p>
        </w:tc>
        <w:tc>
          <w:tcPr>
            <w:tcW w:w="0" w:type="auto"/>
          </w:tcPr>
          <w:p>
            <w:pPr>
              <w:spacing w:before="20" w:after="20"/>
            </w:pPr>
            <w:r>
              <w:t xml:space="preserve">EXP-01 · EXP-02 · EXP-04</w:t>
            </w:r>
          </w:p>
        </w:tc>
        <w:tc>
          <w:tcPr>
            <w:tcW w:w="0" w:type="auto"/>
          </w:tcPr>
          <w:p>
            <w:pPr>
              <w:spacing w:before="20" w:after="20"/>
            </w:pPr>
            <w:r>
              <w:t xml:space="preserve">11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construir la ruta de respaldo hacia PostgreSQL y los depósitos separados por dependencia; ejecutar la falla inducida del caché y conciliar transacciones</w:t>
            </w:r>
          </w:p>
        </w:tc>
        <w:tc>
          <w:tcPr>
            <w:tcW w:w="0" w:type="auto"/>
          </w:tcPr>
          <w:p>
            <w:pPr>
              <w:spacing w:before="20" w:after="20"/>
            </w:pPr>
            <w:r>
              <w:t xml:space="preserve">EXP-01 · EXP-03</w:t>
            </w:r>
          </w:p>
        </w:tc>
        <w:tc>
          <w:tcPr>
            <w:tcW w:w="0" w:type="auto"/>
          </w:tcPr>
          <w:p>
            <w:pPr>
              <w:spacing w:before="20" w:after="20"/>
            </w:pPr>
            <w:r>
              <w:t xml:space="preserve">11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latencia controlada; construir el servicio de Tokenización e integrarlo al recorrido; configurar los conectores con sus depósitos y tiempos de espera</w:t>
            </w:r>
          </w:p>
        </w:tc>
        <w:tc>
          <w:tcPr>
            <w:tcW w:w="0" w:type="auto"/>
          </w:tcPr>
          <w:p>
            <w:pPr>
              <w:spacing w:before="20" w:after="20"/>
            </w:pPr>
            <w:r>
              <w:t xml:space="preserve">EXP-01 · EXP-02 · EXP-04</w:t>
            </w:r>
          </w:p>
        </w:tc>
        <w:tc>
          <w:tcPr>
            <w:tcW w:w="0" w:type="auto"/>
          </w:tcPr>
          <w:p>
            <w:pPr>
              <w:spacing w:before="20" w:after="20"/>
            </w:pPr>
            <w:r>
              <w:t xml:space="preserve">10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en JMeter; ejecutar las corridas y consolidar las mediciones; redactar el informe de resultados y la decisión que se toma con cada uno</w:t>
            </w:r>
          </w:p>
        </w:tc>
        <w:tc>
          <w:tcPr>
            <w:tcW w:w="0" w:type="auto"/>
          </w:tcPr>
          <w:p>
            <w:pPr>
              <w:spacing w:before="20" w:after="20"/>
            </w:pPr>
            <w:r>
              <w:t xml:space="preserve">EXP-01 · EXP-02 · EXP-03</w:t>
            </w:r>
          </w:p>
        </w:tc>
        <w:tc>
          <w:tcPr>
            <w:tcW w:w="0" w:type="auto"/>
          </w:tcPr>
          <w:p>
            <w:pPr>
              <w:spacing w:before="20" w:after="20"/>
            </w:pPr>
            <w:r>
              <w:t xml:space="preserve">10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42 h</w:t>
            </w:r>
          </w:p>
        </w:tc>
      </w:tr>
    </w:tbl>
    <w:p>
      <w:r>
        <w:t/>
      </w:r>
    </w:p>
    <w:p>
      <w:pPr>
        <w:pStyle w:val="Quote"/>
      </w:pPr>
      <w:r>
        <w:t xml:space="preserve">El reparto asigna a cada integrante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pPr>
        <w:pStyle w:val="Heading3"/>
      </w:pPr>
      <w:r>
        <w:t xml:space="preserve">5.9 Resumen de esfuerzo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Cuándo</w:t>
            </w:r>
          </w:p>
        </w:tc>
      </w:tr>
      <w:tr>
        <w:tc>
          <w:tcPr>
            <w:tcW w:w="0" w:type="auto"/>
          </w:tcPr>
          <w:p>
            <w:pPr>
              <w:spacing w:before="20" w:after="20"/>
            </w:pPr>
            <w:r>
              <w:t xml:space="preserve">EXP-01 Presupuesto de latencia</w:t>
            </w:r>
          </w:p>
        </w:tc>
        <w:tc>
          <w:tcPr>
            <w:tcW w:w="0" w:type="auto"/>
          </w:tcPr>
          <w:p>
            <w:pPr>
              <w:spacing w:before="20" w:after="20"/>
            </w:pPr>
            <w:r>
              <w:t xml:space="preserve">HU-ARQ-07</w:t>
            </w:r>
          </w:p>
        </w:tc>
        <w:tc>
          <w:tcPr>
            <w:tcW w:w="0" w:type="auto"/>
          </w:tcPr>
          <w:p>
            <w:pPr>
              <w:spacing w:before="20" w:after="20"/>
            </w:pPr>
            <w:r>
              <w:t xml:space="preserve">ASR-1.1</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 5</w:t>
            </w:r>
          </w:p>
        </w:tc>
      </w:tr>
      <w:tr>
        <w:tc>
          <w:tcPr>
            <w:tcW w:w="0" w:type="auto"/>
          </w:tcPr>
          <w:p>
            <w:pPr>
              <w:spacing w:before="20" w:after="20"/>
            </w:pPr>
            <w:r>
              <w:t xml:space="preserve">EXP-02 Degradación elegante</w:t>
            </w:r>
          </w:p>
        </w:tc>
        <w:tc>
          <w:tcPr>
            <w:tcW w:w="0" w:type="auto"/>
          </w:tcPr>
          <w:p>
            <w:pPr>
              <w:spacing w:before="20" w:after="20"/>
            </w:pPr>
            <w:r>
              <w:t xml:space="preserve">HU-ARQ-08</w:t>
            </w:r>
          </w:p>
        </w:tc>
        <w:tc>
          <w:tcPr>
            <w:tcW w:w="0" w:type="auto"/>
          </w:tcPr>
          <w:p>
            <w:pPr>
              <w:spacing w:before="20" w:after="20"/>
            </w:pPr>
            <w:r>
              <w:t xml:space="preserve">ASR-1.2</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5</w:t>
            </w:r>
          </w:p>
        </w:tc>
      </w:tr>
      <w:tr>
        <w:tc>
          <w:tcPr>
            <w:tcW w:w="0" w:type="auto"/>
          </w:tcPr>
          <w:p>
            <w:pPr>
              <w:spacing w:before="20" w:after="20"/>
            </w:pPr>
            <w:r>
              <w:t xml:space="preserve">EXP-03 Caída del caché</w:t>
            </w:r>
          </w:p>
        </w:tc>
        <w:tc>
          <w:tcPr>
            <w:tcW w:w="0" w:type="auto"/>
          </w:tcPr>
          <w:p>
            <w:pPr>
              <w:spacing w:before="20" w:after="20"/>
            </w:pPr>
            <w:r>
              <w:t xml:space="preserve">HU-ARQ-06</w:t>
            </w:r>
          </w:p>
        </w:tc>
        <w:tc>
          <w:tcPr>
            <w:tcW w:w="0" w:type="auto"/>
          </w:tcPr>
          <w:p>
            <w:pPr>
              <w:spacing w:before="20" w:after="20"/>
            </w:pPr>
            <w:r>
              <w:t xml:space="preserve">ASR-3.1</w:t>
            </w:r>
          </w:p>
        </w:tc>
        <w:tc>
          <w:tcPr>
            <w:tcW w:w="0" w:type="auto"/>
          </w:tcPr>
          <w:p>
            <w:pPr>
              <w:spacing w:before="20" w:after="20"/>
            </w:pPr>
            <w:r>
              <w:t xml:space="preserve">Alta</w:t>
            </w:r>
          </w:p>
        </w:tc>
        <w:tc>
          <w:tcPr>
            <w:tcW w:w="0" w:type="auto"/>
          </w:tcPr>
          <w:p>
            <w:pPr>
              <w:spacing w:before="20" w:after="20"/>
            </w:pPr>
            <w:r>
              <w:t xml:space="preserve">8 h</w:t>
            </w:r>
          </w:p>
        </w:tc>
        <w:tc>
          <w:tcPr>
            <w:tcW w:w="0" w:type="auto"/>
          </w:tcPr>
          <w:p>
            <w:pPr>
              <w:spacing w:before="20" w:after="20"/>
            </w:pPr>
            <w:r>
              <w:t xml:space="preserve">Semana 6</w:t>
            </w:r>
          </w:p>
        </w:tc>
      </w:tr>
      <w:tr>
        <w:tc>
          <w:tcPr>
            <w:tcW w:w="0" w:type="auto"/>
          </w:tcPr>
          <w:p>
            <w:pPr>
              <w:spacing w:before="20" w:after="20"/>
            </w:pPr>
            <w:r>
              <w:t xml:space="preserve">EXP-04 Tokenización</w:t>
            </w:r>
          </w:p>
        </w:tc>
        <w:tc>
          <w:tcPr>
            <w:tcW w:w="0" w:type="auto"/>
          </w:tcPr>
          <w:p>
            <w:pPr>
              <w:spacing w:before="20" w:after="20"/>
            </w:pPr>
            <w:r>
              <w:t xml:space="preserve">HU-ARQ-03</w:t>
            </w:r>
          </w:p>
        </w:tc>
        <w:tc>
          <w:tcPr>
            <w:tcW w:w="0" w:type="auto"/>
          </w:tcPr>
          <w:p>
            <w:pPr>
              <w:spacing w:before="20" w:after="20"/>
            </w:pPr>
            <w:r>
              <w:t xml:space="preserve">ASR-4.1</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6</w:t>
            </w:r>
          </w:p>
        </w:tc>
      </w:tr>
      <w:tr>
        <w:tc>
          <w:tcPr>
            <w:tcW w:w="0" w:type="auto"/>
          </w:tcPr>
          <w:p>
            <w:pPr>
              <w:spacing w:before="20" w:after="20"/>
            </w:pPr>
            <w:r>
              <w:rPr>
                <w:b/>
              </w:rPr>
              <w:t xml:space="preserve">Total del Sprint 1 de diseño</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42 h</w:t>
            </w:r>
          </w:p>
        </w:tc>
        <w:tc>
          <w:tcPr>
            <w:tcW w:w="0" w:type="auto"/>
          </w:tcPr>
          <w:p>
            <w:pPr>
              <w:spacing w:before="20" w:after="20"/>
            </w:pPr>
            <w:r>
              <w:rPr>
                <w:b/>
              </w:rPr>
              <w:t xml:space="preserve">Semanas 5–6</w:t>
            </w:r>
          </w:p>
        </w:tc>
      </w:tr>
    </w:tbl>
    <w:p>
      <w:r>
        <w:t/>
      </w:r>
    </w:p>
    <w:p>
      <w:r>
        <w:t xml:space="preserve">Las 42 horas del Sprint 1 equivalen a 21 puntos de historia con la convención del equipo de 1 punto igual a 2 horas, y están contenidas dentro de los 42 puntos asignados a las historias de arquitectura en el alcance del Proyecto Final 1: construir el mecanismo y ejecutar el experimento que lo valida son parte de la misma historia.</w:t>
      </w:r>
    </w:p>
    <w:p>
      <w:r>
        <w:t xml:space="preserve">La propuesta se limita a cuatro experimentos por decisión explícita. Se descartó el de integridad de pólizas porque su punto de sensibilidad, el bloqueo de escritura del almacenamiento, es una garantía de plataforma y no genera incertidumbre. Los cuatro restantes —pasarela de pagos, continuidad offline, ramo nuevo por configuración y pérdida de zona— corresponden a puntos de sensibilidad de incertidumbre media cuyo resultado adverso obligaría a ajustar una abstracción y no a rehacer estructura; se difieren al Proyecto Final 2. Experimentar los nueve habría repartido las mismas 42 horas entre el doble de frentes, produciendo mediciones superficiales en todos en lugar de conclusiones firmes en los críticos.</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EXP-04 en una verificación de seguridad dentro del proceso de integración.</w:t>
      </w:r>
    </w:p>
    <w:p>
      <w:pPr>
        <w:pBdr>
          <w:bottom w:val="single" w:sz="6" w:space="1" w:color="D0D0D0"/>
        </w:pBdr>
      </w:pPr>
    </w:p>
    <w:p>
      <w:pPr>
        <w:pStyle w:val="Heading2"/>
      </w:pPr>
      <w:r>
        <w:t xml:space="preserve">7. Plan de trabajo y tablero</w:t>
      </w:r>
    </w:p>
    <w:p>
      <w:pPr>
        <w:pStyle w:val="Heading3"/>
      </w:pPr>
      <w:r>
        <w:t xml:space="preserve">7.1 Estado del proyecto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t xml:space="preserve">Modelos de arquitectura, patrones y diseño de experimentos</w:t>
            </w:r>
          </w:p>
        </w:tc>
        <w:tc>
          <w:tcPr>
            <w:tcW w:w="0" w:type="auto"/>
          </w:tcPr>
          <w:p>
            <w:pPr>
              <w:spacing w:before="20" w:after="20"/>
            </w:pPr>
            <w:r>
              <w:t xml:space="preserve">Esta entrega</w:t>
            </w:r>
          </w:p>
        </w:tc>
      </w:tr>
      <w:tr>
        <w:tc>
          <w:tcPr>
            <w:tcW w:w="0" w:type="auto"/>
          </w:tcPr>
          <w:p>
            <w:pPr>
              <w:spacing w:before="20" w:after="20"/>
            </w:pPr>
            <w:r>
              <w:t xml:space="preserve">5 (31 ago–6 sep)</w:t>
            </w:r>
          </w:p>
        </w:tc>
        <w:tc>
          <w:tcPr>
            <w:tcW w:w="0" w:type="auto"/>
          </w:tcPr>
          <w:p>
            <w:pPr>
              <w:spacing w:before="20" w:after="20"/>
            </w:pPr>
            <w:r>
              <w:t xml:space="preserve">Ejecución de EXP-01 y EXP-02 · construcción del núcleo de cotización</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Ejecución de EXP-03 y EXP-04 · cliente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Cliente móvil · experimentos de holgura</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Integración, cierre y presentación final</w:t>
            </w:r>
          </w:p>
        </w:tc>
        <w:tc>
          <w:tcPr>
            <w:tcW w:w="0" w:type="auto"/>
          </w:tcPr>
          <w:p>
            <w:pPr>
              <w:spacing w:before="20" w:after="20"/>
            </w:pPr>
            <w:r>
              <w:t xml:space="preserve">Planificada</w:t>
            </w:r>
          </w:p>
        </w:tc>
      </w:tr>
    </w:tbl>
    <w:p>
      <w:r>
        <w:t/>
      </w:r>
    </w:p>
    <w:p>
      <w:pPr>
        <w:pStyle w:val="Heading3"/>
      </w:pPr>
      <w:r>
        <w:t xml:space="preserve">7.2 Compromiso por sprint</w:t>
      </w:r>
    </w:p>
    <w:p>
      <w:r>
        <w:t xml:space="preserve">Con una velocidad efectiva de 19 puntos de historia por semana y 76 puntos disponibles para las semanas 5 a 8, el compromiso es el siguiente: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Historias comprometidas</w:t>
            </w:r>
          </w:p>
        </w:tc>
        <w:tc>
          <w:tcPr>
            <w:tcW w:w="0" w:type="auto"/>
            <w:shd w:val="clear" w:fill="EDF2F7"/>
          </w:tcPr>
          <w:p>
            <w:pPr>
              <w:spacing w:before="20" w:after="20"/>
            </w:pPr>
            <w:r>
              <w:rPr>
                <w:b/>
              </w:rPr>
              <w:t xml:space="preserve">SP</w:t>
            </w:r>
          </w:p>
        </w:tc>
      </w:tr>
      <w:tr>
        <w:tc>
          <w:tcPr>
            <w:tcW w:w="0" w:type="auto"/>
          </w:tcPr>
          <w:p>
            <w:pPr>
              <w:spacing w:before="20" w:after="20"/>
            </w:pPr>
            <w:r>
              <w:t xml:space="preserve">5</w:t>
            </w:r>
          </w:p>
        </w:tc>
        <w:tc>
          <w:tcPr>
            <w:tcW w:w="0" w:type="auto"/>
          </w:tcPr>
          <w:p>
            <w:pPr>
              <w:spacing w:before="20" w:after="20"/>
            </w:pPr>
            <w:r>
              <w:t xml:space="preserve">HU-ARQ-05, HU-ARQ-07, FE-10.2, FE-01.1</w:t>
            </w:r>
          </w:p>
        </w:tc>
        <w:tc>
          <w:tcPr>
            <w:tcW w:w="0" w:type="auto"/>
          </w:tcPr>
          <w:p>
            <w:pPr>
              <w:spacing w:before="20" w:after="20"/>
            </w:pPr>
            <w:r>
              <w:t xml:space="preserve">18</w:t>
            </w:r>
          </w:p>
        </w:tc>
      </w:tr>
      <w:tr>
        <w:tc>
          <w:tcPr>
            <w:tcW w:w="0" w:type="auto"/>
          </w:tcPr>
          <w:p>
            <w:pPr>
              <w:spacing w:before="20" w:after="20"/>
            </w:pPr>
            <w:r>
              <w:t xml:space="preserve">6</w:t>
            </w:r>
          </w:p>
        </w:tc>
        <w:tc>
          <w:tcPr>
            <w:tcW w:w="0" w:type="auto"/>
          </w:tcPr>
          <w:p>
            <w:pPr>
              <w:spacing w:before="20" w:after="20"/>
            </w:pPr>
            <w:r>
              <w:t xml:space="preserve">HU-ARQ-06, FE-01.2, FE-01.3</w:t>
            </w:r>
          </w:p>
        </w:tc>
        <w:tc>
          <w:tcPr>
            <w:tcW w:w="0" w:type="auto"/>
          </w:tcPr>
          <w:p>
            <w:pPr>
              <w:spacing w:before="20" w:after="20"/>
            </w:pPr>
            <w:r>
              <w:t xml:space="preserve">18</w:t>
            </w:r>
          </w:p>
        </w:tc>
      </w:tr>
      <w:tr>
        <w:tc>
          <w:tcPr>
            <w:tcW w:w="0" w:type="auto"/>
          </w:tcPr>
          <w:p>
            <w:pPr>
              <w:spacing w:before="20" w:after="20"/>
            </w:pPr>
            <w:r>
              <w:t xml:space="preserve">7</w:t>
            </w:r>
          </w:p>
        </w:tc>
        <w:tc>
          <w:tcPr>
            <w:tcW w:w="0" w:type="auto"/>
          </w:tcPr>
          <w:p>
            <w:pPr>
              <w:spacing w:before="20" w:after="20"/>
            </w:pPr>
            <w:r>
              <w:t xml:space="preserve">HU-ARQ-03, HU-ARQ-08, FE-01.4</w:t>
            </w:r>
          </w:p>
        </w:tc>
        <w:tc>
          <w:tcPr>
            <w:tcW w:w="0" w:type="auto"/>
          </w:tcPr>
          <w:p>
            <w:pPr>
              <w:spacing w:before="20" w:after="20"/>
            </w:pPr>
            <w:r>
              <w:t xml:space="preserve">19</w:t>
            </w:r>
          </w:p>
        </w:tc>
      </w:tr>
      <w:tr>
        <w:tc>
          <w:tcPr>
            <w:tcW w:w="0" w:type="auto"/>
          </w:tcPr>
          <w:p>
            <w:pPr>
              <w:spacing w:before="20" w:after="20"/>
            </w:pPr>
            <w:r>
              <w:t xml:space="preserve">8</w:t>
            </w:r>
          </w:p>
        </w:tc>
        <w:tc>
          <w:tcPr>
            <w:tcW w:w="0" w:type="auto"/>
          </w:tcPr>
          <w:p>
            <w:pPr>
              <w:spacing w:before="20" w:after="20"/>
            </w:pPr>
            <w:r>
              <w:t xml:space="preserve">FE-02.1, FE-02.4, FE-02.5, FE-05.1, FE-05.2, FE-06.1, FE-06.2</w:t>
            </w:r>
          </w:p>
        </w:tc>
        <w:tc>
          <w:tcPr>
            <w:tcW w:w="0" w:type="auto"/>
          </w:tcPr>
          <w:p>
            <w:pPr>
              <w:spacing w:before="20" w:after="20"/>
            </w:pPr>
            <w:r>
              <w:t xml:space="preserve">21</w:t>
            </w:r>
          </w:p>
        </w:tc>
      </w:tr>
      <w:tr>
        <w:tc>
          <w:tcPr>
            <w:tcW w:w="0" w:type="auto"/>
          </w:tcPr>
          <w:p>
            <w:pPr>
              <w:spacing w:before="20" w:after="20"/>
            </w:pPr>
            <w:r>
              <w:rPr>
                <w:b/>
              </w:rPr>
              <w:t xml:space="preserve">Total</w:t>
            </w:r>
          </w:p>
        </w:tc>
        <w:tc>
          <w:tcPr>
            <w:tcW w:w="0" w:type="auto"/>
          </w:tcPr>
          <w:p>
            <w:pPr>
              <w:spacing w:before="20" w:after="20"/>
            </w:pPr>
            <w:r>
              <w:rPr>
                <w:b/>
              </w:rPr>
              <w:t xml:space="preserve">17 historias</w:t>
            </w:r>
          </w:p>
        </w:tc>
        <w:tc>
          <w:tcPr>
            <w:tcW w:w="0" w:type="auto"/>
          </w:tcPr>
          <w:p>
            <w:pPr>
              <w:spacing w:before="20" w:after="20"/>
            </w:pPr>
            <w:r>
              <w:rPr>
                <w:b/>
              </w:rPr>
              <w:t xml:space="preserve">76</w:t>
            </w:r>
          </w:p>
        </w:tc>
      </w:tr>
    </w:tbl>
    <w:p>
      <w:r>
        <w:t/>
      </w:r>
    </w:p>
    <w:p>
      <w:r>
        <w:t xml:space="preserve">El detalle completo del backlog de 62 historias, el cálculo de la capacidad del equipo y el criterio de corte de alcance están en el documento de historias de usuario versión 2.0 que acompaña esta entrega.</w:t>
      </w:r>
    </w:p>
    <w:p>
      <w:pPr>
        <w:pStyle w:val="Heading3"/>
      </w:pPr>
      <w:r>
        <w:t xml:space="preserve">7.3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t xml:space="preserve">Se esperaba la lista completa de historias, no solo 20</w:t>
            </w:r>
          </w:p>
        </w:tc>
        <w:tc>
          <w:tcPr>
            <w:tcW w:w="0" w:type="auto"/>
          </w:tcPr>
          <w:p>
            <w:pPr>
              <w:spacing w:before="20" w:after="20"/>
            </w:pPr>
            <w:r>
              <w:t xml:space="preserve">Backlog descompuesto a 62 historias; promedio de 7,6 a 3,7 SP por historia</w:t>
            </w:r>
          </w:p>
        </w:tc>
        <w:tc>
          <w:tcPr>
            <w:tcW w:w="0" w:type="auto"/>
          </w:tcPr>
          <w:p>
            <w:pPr>
              <w:spacing w:before="20" w:after="20"/>
            </w:pPr>
            <w:r>
              <w:t xml:space="preserve">Documento de historias de usuario v2.0, §4</w:t>
            </w:r>
          </w:p>
        </w:tc>
      </w:tr>
      <w:tr>
        <w:tc>
          <w:tcPr>
            <w:tcW w:w="0" w:type="auto"/>
          </w:tcPr>
          <w:p>
            <w:pPr>
              <w:spacing w:before="20" w:after="20"/>
            </w:pPr>
            <w:r>
              <w:t xml:space="preserve">No se encontró evidencia del cálculo de capacidad</w:t>
            </w:r>
          </w:p>
        </w:tc>
        <w:tc>
          <w:tcPr>
            <w:tcW w:w="0" w:type="auto"/>
          </w:tcPr>
          <w:p>
            <w:pPr>
              <w:spacing w:before="20" w:after="20"/>
            </w:pPr>
            <w:r>
              <w:t xml:space="preserve">Cálculo paso a paso incorporado dentro del entregable</w:t>
            </w:r>
          </w:p>
        </w:tc>
        <w:tc>
          <w:tcPr>
            <w:tcW w:w="0" w:type="auto"/>
          </w:tcPr>
          <w:p>
            <w:pPr>
              <w:spacing w:before="20" w:after="20"/>
            </w:pPr>
            <w:r>
              <w:t xml:space="preserve">Documento de historias de usuario v2.0, §2</w:t>
            </w:r>
          </w:p>
        </w:tc>
      </w:tr>
      <w:tr>
        <w:tc>
          <w:tcPr>
            <w:tcW w:w="0" w:type="auto"/>
          </w:tcPr>
          <w:p>
            <w:pPr>
              <w:spacing w:before="20" w:after="20"/>
            </w:pPr>
            <w:r>
              <w:t xml:space="preserve">Backlog de 152 SP con solo 20 historias</w:t>
            </w:r>
          </w:p>
        </w:tc>
        <w:tc>
          <w:tcPr>
            <w:tcW w:w="0" w:type="auto"/>
          </w:tcPr>
          <w:p>
            <w:pPr>
              <w:spacing w:before="20" w:after="20"/>
            </w:pPr>
            <w:r>
              <w:t xml:space="preserve">Re-estimación de abajo hacia arriba a 229 SP y corte explícito de alcance</w:t>
            </w:r>
          </w:p>
        </w:tc>
        <w:tc>
          <w:tcPr>
            <w:tcW w:w="0" w:type="auto"/>
          </w:tcPr>
          <w:p>
            <w:pPr>
              <w:spacing w:before="20" w:after="20"/>
            </w:pPr>
            <w:r>
              <w:t xml:space="preserve">Documento de historias de usuario v2.0, §3 y §5</w:t>
            </w:r>
          </w:p>
        </w:tc>
      </w:tr>
    </w:tbl>
    <w:p>
      <w:r>
        <w:t/>
      </w:r>
    </w:p>
    <w:p>
      <w:pPr>
        <w:pStyle w:val="Heading3"/>
      </w:pPr>
      <w:r>
        <w:t xml:space="preserve">7.4 Tablero</w:t>
      </w:r>
    </w:p>
    <w:p>
      <w:r>
        <w:t xml:space="preserve">El tablero del proyecto en Jira refleja el backlog descompuesto, con épicas, estimación en puntos de historia, prioridad y la asociación de cada historia de arquitectura con su ASR.</w:t>
      </w:r>
    </w:p>
    <w:p>
      <w:r>
        <w:rPr>
          <w:b/>
        </w:rPr>
        <w:t xml:space="preserve">Tablero Jira:</w:t>
      </w:r>
      <w:r>
        <w:t xml:space="preserve"> https://proyectointegradorgrupo2.atlassian.net/jira/software/projects/SOL/boards</w:t>
      </w:r>
    </w:p>
    <w:p>
      <w:r>
        <w:rPr>
          <w:b/>
        </w:rPr>
        <w:t xml:space="preserve">Backlog:</w:t>
      </w:r>
      <w:r>
        <w:t xml:space="preserve"> https://proyectointegradorgrupo2.atlassian.net/jira/software/projects/SOL/backlog</w:t>
      </w:r>
    </w:p>
    <w:p>
      <w:r>
        <w:rPr>
          <w:b/>
        </w:rPr>
        <w:t xml:space="preserve">Repositorio:</w:t>
      </w:r>
      <w:r>
        <w:t xml:space="preserve"> https://github.com/Migue765/proyecto-final-uniandes</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vista_funcional.png"/><Relationship Id="rIdImg1" Type="http://schemas.openxmlformats.org/officeDocument/2006/relationships/image" Target="media/vista_despliegue.png"/><Relationship Id="rIdImg2" Type="http://schemas.openxmlformats.org/officeDocument/2006/relationships/image" Target="media/vista_informacion.png"/></Relationships>
</file>