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30" w:space="1"/>
        </w:pBdr>
        <w:spacing w:after="240" w:before="0"/>
      </w:pPr>
    </w:p>
    <w:p>
      <w:pPr>
        <w:spacing w:after="60" w:before="320"/>
      </w:pPr>
      <w:r>
        <w:rPr>
          <w:rFonts w:ascii="Arial" w:cs="Arial" w:eastAsia="Arial" w:hAnsi="Arial"/>
          <w:b/>
          <w:bCs/>
          <w:i w:val="false"/>
          <w:iCs w:val="false"/>
          <w:color w:val="1B2A4A"/>
          <w:sz w:val="36"/>
          <w:szCs w:val="36"/>
        </w:rPr>
        <w:t xml:space="preserve">CREDITIQ — REPORTE DE ANÁLISIS FINANCIERO</w:t>
      </w:r>
    </w:p>
    <w:p>
      <w:pPr>
        <w:spacing w:after="60" w:before="0"/>
      </w:pPr>
      <w:r>
        <w:rPr>
          <w:rFonts w:ascii="Arial" w:cs="Arial" w:eastAsia="Arial" w:hAnsi="Arial"/>
          <w:b w:val="false"/>
          <w:bCs w:val="false"/>
          <w:i/>
          <w:iCs/>
          <w:color w:val="2E4A7A"/>
          <w:sz w:val="22"/>
          <w:szCs w:val="22"/>
        </w:rPr>
        <w:t xml:space="preserve">Generado automáticamente por el Sistema Multiagente de IA</w:t>
      </w:r>
    </w:p>
    <w:p>
      <w:pPr>
        <w:pBdr>
          <w:bottom w:val="single" w:color="1F6EBF" w:sz="6" w:space="1"/>
        </w:pBdr>
        <w:spacing w:after="0" w:before="0"/>
      </w:pPr>
    </w:p>
    <w:p>
      <w:pPr>
        <w:spacing w:after="6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4238"/>
        <w:gridCol w:w="900"/>
        <w:gridCol w:w="210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Entidad / Fondo</w:t>
            </w:r>
          </w:p>
        </w:tc>
        <w:tc>
          <w:tcPr>
            <w:tcW w:type="dxa" w:w="4238"/>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BTG P.INMOBILIARIO</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Período</w:t>
            </w:r>
          </w:p>
        </w:tc>
        <w:tc>
          <w:tcPr>
            <w:tcW w:type="dxa" w:w="21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Jun 2025 vs Dic 2024</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Documento</w:t>
            </w:r>
          </w:p>
        </w:tc>
        <w:tc>
          <w:tcPr>
            <w:tcW w:type="dxa" w:w="4238"/>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Estados Financieros</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Fecha Corte</w:t>
            </w:r>
          </w:p>
        </w:tc>
        <w:tc>
          <w:tcPr>
            <w:tcW w:type="dxa" w:w="21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30 de junio de 2025</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Clasificación</w:t>
            </w:r>
          </w:p>
        </w:tc>
        <w:tc>
          <w:tcPr>
            <w:tcW w:type="dxa" w:w="4238"/>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Concentrada</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Generado</w:t>
            </w:r>
          </w:p>
        </w:tc>
        <w:tc>
          <w:tcPr>
            <w:tcW w:type="dxa" w:w="21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01/06/2026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Revisor IA</w:t>
            </w:r>
          </w:p>
        </w:tc>
        <w:tc>
          <w:tcPr>
            <w:tcW w:type="dxa" w:w="4238"/>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CreditIQ Multi-Agente · Score 72/100</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i w:val="false"/>
                <w:iCs w:val="false"/>
                <w:color w:val="3D3D5C"/>
                <w:sz w:val="18"/>
                <w:szCs w:val="18"/>
              </w:rPr>
              <w:t xml:space="preserve">Versión</w:t>
            </w:r>
          </w:p>
        </w:tc>
        <w:tc>
          <w:tcPr>
            <w:tcW w:type="dxa" w:w="21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val="false"/>
                <w:bCs w:val="false"/>
                <w:i w:val="false"/>
                <w:iCs w:val="false"/>
                <w:color w:val="1A1A2E"/>
                <w:sz w:val="18"/>
                <w:szCs w:val="18"/>
              </w:rPr>
              <w:t>1.0</w:t>
            </w:r>
          </w:p>
        </w:tc>
      </w:tr>
    </w:tbl>
    <w:p>
      <w:pPr>
        <w:spacing w:after="80" w:before="200"/>
      </w:pPr>
    </w:p>
    <w:p>
      <w:pPr>
        <w:pBdr>
          <w:bottom w:val="single" w:color="1B2A4A" w:sz="16" w:space="1"/>
        </w:pBdr>
        <w:spacing w:after="0" w:before="0"/>
      </w:pPr>
    </w:p>
    <w:p>
      <w:pPr>
        <w:spacing w:after="40" w:before="40"/>
      </w:pPr>
    </w:p>
    <w:p>
      <w:pPr>
        <w:spacing w:after="200" w:before="0"/>
      </w:pPr>
      <w:r>
        <w:rPr>
          <w:rFonts w:ascii="Arial" w:cs="Arial" w:eastAsia="Arial" w:hAnsi="Arial"/>
          <w:b/>
          <w:bCs/>
          <w:i w:val="false"/>
          <w:iCs w:val="false"/>
          <w:color w:val="C0392B"/>
          <w:sz w:val="16"/>
          <w:szCs w:val="16"/>
        </w:rPr>
        <w:t xml:space="preserve">CONFIDENCIAL — </w:t>
      </w:r>
      <w:r>
        <w:rPr>
          <w:rFonts w:ascii="Arial" w:cs="Arial" w:eastAsia="Arial" w:hAnsi="Arial"/>
          <w:b w:val="false"/>
          <w:bCs w:val="false"/>
          <w:i w:val="false"/>
          <w:iCs w:val="false"/>
          <w:color w:val="3D3D5C"/>
          <w:sz w:val="16"/>
          <w:szCs w:val="16"/>
        </w:rPr>
        <w:t xml:space="preserve">Este documento contiene información generada por inteligencia artificial y requiere validación humana antes de su uso oficial. </w:t>
      </w:r>
      <w:r>
        <w:rPr>
          <w:rFonts w:ascii="Arial" w:cs="Arial" w:eastAsia="Arial" w:hAnsi="Arial"/>
          <w:b w:val="false"/>
          <w:bCs w:val="false"/>
          <w:i/>
          <w:iCs/>
          <w:color w:val="3D3D5C"/>
          <w:sz w:val="16"/>
          <w:szCs w:val="16"/>
        </w:rPr>
        <w:t xml:space="preserve">Sujeto a aprobación por Contador Público y Representante Legal.</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1  </w:t>
      </w:r>
      <w:r>
        <w:rPr>
          <w:rFonts w:ascii="Arial" w:cs="Arial" w:eastAsia="Arial" w:hAnsi="Arial"/>
          <w:b/>
          <w:bCs/>
          <w:i w:val="false"/>
          <w:iCs w:val="false"/>
          <w:color w:val="FFFFFF"/>
          <w:sz w:val="26"/>
          <w:szCs w:val="26"/>
        </w:rPr>
        <w:t xml:space="preserve">ENTIDAD REPORTANTE</w:t>
      </w:r>
    </w:p>
    <w:p>
      <w:pPr>
        <w:shd w:fill="D0E4F5" w:val="clear"/>
        <w:spacing w:after="80" w:before="40"/>
      </w:pPr>
      <w:r>
        <w:rPr>
          <w:rFonts w:ascii="Arial" w:cs="Arial" w:eastAsia="Arial" w:hAnsi="Arial"/>
          <w:b w:val="false"/>
          <w:bCs w:val="false"/>
          <w:i/>
          <w:iCs/>
          <w:color w:val="1B2A4A"/>
          <w:sz w:val="18"/>
          <w:szCs w:val="18"/>
        </w:rPr>
        <w:t xml:space="preserve">  Información general del fondo y contexto económico del período</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1.1  Información del Fondo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Atributo</w:t>
            </w:r>
          </w:p>
        </w:tc>
        <w:tc>
          <w:tcPr>
            <w:tcW w:type="dxa" w:w="64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Detalle</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Razón social</w:t>
            </w:r>
          </w:p>
        </w:tc>
        <w:tc>
          <w:tcPr>
            <w:tcW w:type="dxa" w:w="64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BTG P.INMOBILIARIO</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Tipo de entidad</w:t>
            </w:r>
          </w:p>
        </w:tc>
        <w:tc>
          <w:tcPr>
            <w:tcW w:type="dxa" w:w="64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Entidad</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Moneda funcional</w:t>
            </w:r>
          </w:p>
        </w:tc>
        <w:tc>
          <w:tcPr>
            <w:tcW w:type="dxa" w:w="64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COP</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Período analizado</w:t>
            </w:r>
          </w:p>
        </w:tc>
        <w:tc>
          <w:tcPr>
            <w:tcW w:type="dxa" w:w="64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Jun 2025</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Clasificación de riesgo</w:t>
            </w:r>
          </w:p>
        </w:tc>
        <w:tc>
          <w:tcPr>
            <w:tcW w:type="dxa" w:w="64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Medio</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Salud financiera</w:t>
            </w:r>
          </w:p>
        </w:tc>
        <w:tc>
          <w:tcPr>
            <w:tcW w:type="dxa" w:w="64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Concentrada</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1.2  Contexto Macroeconómico del Período</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El entorno macroeconómico colombiano durante el primer semestre de 2025 se caracteriza por estabilidad en liquidez de mercado y ambiente cambiario, con sentimiento de riesgo moderado entre inversionistas. Los sectores financiero y energético muestran tendencias positivas (Ecopetrol +25.7%, Bancolombia +4.6%), mientras que volatilidad de mercado permanece elevada, reflejando incertidumbre sobre trayectoria de tasas de interés. Aunque los datos específicos de inflación y tasas de política no están disponibles, la composición de portafolio del fondo hacia instrumentos de menor volatilidad sugiere un contexto de presión sobre rentabilidad en renta variable tradicional, impulsando rotaciones defensivas entre inversionistas institucionales. — Análisis del entorno macroeconómico generado por Agente 4. Incluir tasas de referencia, inflación, índices bursátiles relevantes y outlook.</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Tasa Banco República</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Inflación (IPC)</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COLCAP YTD</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TRM Promedio</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r>
    </w:tbl>
    <w:p>
      <w:pPr>
        <w:spacing w:after="80" w:before="80"/>
      </w:pP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2  </w:t>
      </w:r>
      <w:r>
        <w:rPr>
          <w:rFonts w:ascii="Arial" w:cs="Arial" w:eastAsia="Arial" w:hAnsi="Arial"/>
          <w:b/>
          <w:bCs/>
          <w:i w:val="false"/>
          <w:iCs w:val="false"/>
          <w:color w:val="FFFFFF"/>
          <w:sz w:val="26"/>
          <w:szCs w:val="26"/>
        </w:rPr>
        <w:t xml:space="preserve">ESTADO DE SITUACIÓN FINANCIERA</w:t>
      </w:r>
    </w:p>
    <w:p>
      <w:pPr>
        <w:shd w:fill="D0E4F5" w:val="clear"/>
        <w:spacing w:after="80" w:before="40"/>
      </w:pPr>
      <w:r>
        <w:rPr>
          <w:rFonts w:ascii="Arial" w:cs="Arial" w:eastAsia="Arial" w:hAnsi="Arial"/>
          <w:b w:val="false"/>
          <w:bCs w:val="false"/>
          <w:i/>
          <w:iCs/>
          <w:color w:val="1B2A4A"/>
          <w:sz w:val="18"/>
          <w:szCs w:val="18"/>
        </w:rPr>
        <w:t xml:space="preserve">  Balance condensado con análisis de variaciones materiales — Agente 3 NIIF</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2.1  Balance General</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500"/>
        <w:gridCol w:w="1238"/>
        <w:gridCol w:w="1000"/>
      </w:tblGrid>
      <w:tr>
        <w:trPr>
          <w:tblHeader/>
        </w:trPr>
        <w:tc>
          <w:tcPr>
            <w:tcW w:type="dxa" w:w="25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Rubro</w:t>
            </w:r>
          </w:p>
        </w:tc>
        <w:tc>
          <w:tcPr>
            <w:tcW w:type="dxa" w:w="17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Jun 2025 (COP miles)</w:t>
            </w:r>
          </w:p>
        </w:tc>
        <w:tc>
          <w:tcPr>
            <w:tcW w:type="dxa" w:w="17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Dic 2024 (COP miles)</w:t>
            </w:r>
          </w:p>
        </w:tc>
        <w:tc>
          <w:tcPr>
            <w:tcW w:type="dxa" w:w="15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Variación $</w:t>
            </w:r>
          </w:p>
        </w:tc>
        <w:tc>
          <w:tcPr>
            <w:tcW w:type="dxa" w:w="12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Variación %</w:t>
            </w:r>
          </w:p>
        </w:tc>
        <w:tc>
          <w:tcPr>
            <w:tcW w:type="dxa" w:w="1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Material</w:t>
            </w:r>
          </w:p>
        </w:tc>
      </w:tr>
      <w:tr>
        <w:tc>
          <w:tcPr>
            <w:tcW w:type="dxa" w:w="2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Saldo inicial</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1,232.0</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1,170.3</w:t>
            </w:r>
          </w:p>
        </w:tc>
        <w:tc>
          <w:tcPr>
            <w:tcW w:type="dxa" w:w="1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61.7</w:t>
            </w: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+5.3%</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Sí</w:t>
            </w:r>
          </w:p>
        </w:tc>
      </w:tr>
      <w:tr>
        <w:tc>
          <w:tcPr>
            <w:tcW w:type="dxa" w:w="2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Derechos o suscripciones</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1,179.3</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1,128.9</w:t>
            </w:r>
          </w:p>
        </w:tc>
        <w:tc>
          <w:tcPr>
            <w:tcW w:type="dxa" w:w="1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50.4</w:t>
            </w:r>
          </w:p>
        </w:tc>
        <w:tc>
          <w:tcPr>
            <w:tcW w:type="dxa" w:w="12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+4.5%</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Sí</w:t>
            </w:r>
          </w:p>
        </w:tc>
      </w:tr>
      <w:tr>
        <w:tc>
          <w:tcPr>
            <w:tcW w:type="dxa" w:w="2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Flujo de efectivo operacional</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52.3</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-35.1</w:t>
            </w:r>
          </w:p>
        </w:tc>
        <w:tc>
          <w:tcPr>
            <w:tcW w:type="dxa" w:w="1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87.4</w:t>
            </w: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-248.8%</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Sí</w:t>
            </w:r>
          </w:p>
        </w:tc>
      </w:tr>
      <w:tr>
        <w:tc>
          <w:tcPr>
            <w:tcW w:type="dxa" w:w="2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 Pasivos</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313.2</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358.1</w:t>
            </w:r>
          </w:p>
        </w:tc>
        <w:tc>
          <w:tcPr>
            <w:tcW w:type="dxa" w:w="1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-45.0</w:t>
            </w:r>
          </w:p>
        </w:tc>
        <w:tc>
          <w:tcPr>
            <w:tcW w:type="dxa" w:w="12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-12.6%</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Sí</w:t>
            </w:r>
          </w:p>
        </w:tc>
      </w:tr>
      <w:tr>
        <w:tc>
          <w:tcPr>
            <w:tcW w:type="dxa" w:w="2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Disminución neta de efectivo</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-0.4</w:t>
            </w:r>
          </w:p>
        </w:tc>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-52.1</w:t>
            </w:r>
          </w:p>
        </w:tc>
        <w:tc>
          <w:tcPr>
            <w:tcW w:type="dxa" w:w="1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51.6</w:t>
            </w: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-99.2%</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Sí</w:t>
            </w:r>
          </w:p>
        </w:tc>
      </w:tr>
      <w:tr>
        <w:tc>
          <w:tcPr>
            <w:tcW w:type="dxa" w:w="2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 Activos</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1,549.0</w:t>
            </w:r>
          </w:p>
        </w:tc>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1,590.1</w:t>
            </w:r>
          </w:p>
        </w:tc>
        <w:tc>
          <w:tcPr>
            <w:tcW w:type="dxa" w:w="1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-41.1</w:t>
            </w:r>
          </w:p>
        </w:tc>
        <w:tc>
          <w:tcPr>
            <w:tcW w:type="dxa" w:w="12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-2.6%</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No</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2.2  Análisis de Variaciones Materiales — Activos</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El activo total del fondo contrajo 2.6% a COP 1,549 mil MM, impulsado por liquidación de posiciones financieras (-2.5%, -40.2 mil MM COP) para absorber presión de redenciones netas de -52.7 mil MM COP. La cartera de activos financieros a valor razonable representa el 99.4% del total de activos, concentrada en derechos fiduciarios (93.6%) e instrumentos de patrimonio (6.4%), reflejando una estructura defensiva orientada hacia fideicomisos inmobiliarios. La posición de efectivo es prácticamente nula (0.0% de activos totales), distribuida entre múltiples custodios (Banco de Occidente 56.1%, Bancolombia 42.7%, Davivienda 0.8%, BTG Pactual 0.4%), creando vulnerabilidad operativa ante necesidades de liquidez inmediata. La recomposición hacia derechos/suscripciones (+50.4 mil MM COP) refleja rotación defensiva, pero la concentración crítica en el Fondo BTG Pactual Fondo Liquidez (100% de inversiones) permanece como riesgo idiosincrático dominante. — Narrativa generada por Agente 4. Explicar principales movimientos en Efectivo, Instrumentos de Inversión y Cuentas por Cobrar. Umbral materialidad: 5% del activo total.</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2.3  Análisis de Variaciones Materiales — Pasivos y Activos Netos</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Los pasivos totales disminuyeron 12.6% a COP 313.2 mil MM, principalmente por colapso de ingresos recibidos por anticipado (-66.5%, -44.5 mil MM COP), que refleja deterioro en calidad de compromisos de clientes y renegociación de contratos. Esta contracción señala presión sobre cobertura de gastos operacionales fijos del fondo, cuya estructura de costos requiere ingresos recurrentes para mantener márgenes. La relación pasivos/activos de 20.2% permanece manejable, pero la composición de pasivos hacia obligaciones diferidas de corto plazo amplifica riesgo de refinanciamiento si flujos de fideicomisos se deterioran. La ausencia de deuda financiera (deuda/patrimonio = 0.0) mantiene estructura de capital defensiva, pero la dependencia de ingresos por servicios para cubrir gastos fijos genera vulnerabilidad a ciclos de contracción de demanda de servicios de administración fiduciaria. — Variaciones en cuentas por pagar, pasivos financieros y activos netos de inversionistas. Flujos de suscripción / retiro del período.</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3  </w:t>
      </w:r>
      <w:r>
        <w:rPr>
          <w:rFonts w:ascii="Arial" w:cs="Arial" w:eastAsia="Arial" w:hAnsi="Arial"/>
          <w:b/>
          <w:bCs/>
          <w:i w:val="false"/>
          <w:iCs w:val="false"/>
          <w:color w:val="FFFFFF"/>
          <w:sz w:val="26"/>
          <w:szCs w:val="26"/>
        </w:rPr>
        <w:t xml:space="preserve">ESTADO DE RESULTADOS INTEGRALES</w:t>
      </w:r>
    </w:p>
    <w:p>
      <w:pPr>
        <w:shd w:fill="D0E4F5" w:val="clear"/>
        <w:spacing w:after="80" w:before="40"/>
      </w:pPr>
      <w:r>
        <w:rPr>
          <w:rFonts w:ascii="Arial" w:cs="Arial" w:eastAsia="Arial" w:hAnsi="Arial"/>
          <w:b w:val="false"/>
          <w:bCs w:val="false"/>
          <w:i/>
          <w:iCs/>
          <w:color w:val="1B2A4A"/>
          <w:sz w:val="18"/>
          <w:szCs w:val="18"/>
        </w:rPr>
        <w:t xml:space="preserve">  Análisis de ingresos, gastos y utilidad — períodos acumulado y trimestral</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3.1  Resultados Acumulados (Ene–Jun)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rPr>
          <w:tblHeader/>
        </w:trPr>
        <w:tc>
          <w:tcPr>
            <w:tcW w:type="dxa" w:w="3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Concepto</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Jun 2025</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Jun 2024</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w:t>
            </w:r>
          </w:p>
        </w:tc>
        <w:tc>
          <w:tcPr>
            <w:tcW w:type="dxa" w:w="16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22.4</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66.8</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-44.5</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-66.5%</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Utilidad del período</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56.6</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103.1</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-46.5</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-45.1%</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operacionales - Utilidades fideicomisos</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79.8</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40.6</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39.1</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+96.2%</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Inverlink</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6.0</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23.9</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-17.9</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-74.8%</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operacionales - Valorización títulos participativos</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5.1</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0.5</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4.6</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0.0%</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Terranova 93</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0.7</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-4.9</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-87.2%</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Cedis Sibaté</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2.0</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5.0</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-2.9</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-59.0%</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La Cofradía</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1.4</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5.0</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-3.6</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-72.3%</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3.2  Resultados Segundo Trimestre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rPr>
          <w:tblHeader/>
        </w:trPr>
        <w:tc>
          <w:tcPr>
            <w:tcW w:type="dxa" w:w="3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Concepto</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Q2 2025</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Q2 2024</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w:t>
            </w:r>
          </w:p>
        </w:tc>
        <w:tc>
          <w:tcPr>
            <w:tcW w:type="dxa" w:w="16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Utilidad del período</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operacionales - Utilidades fideicomisos</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Inverlink</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operacionales - Valorización títulos participativos</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Terranova 93</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Cedis Sibaté</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recibidos por anticipado - La Cofradía</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3.3  Análisis de Rentabilidad</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La rentabilidad del fondo se contrajo significativamente en el período. La utilidad neta cayó 45.1% a COP 56.6 mil MM, mientras que ROE se ubicó en 4.58% y ROA en 5.12%, reflejando rentabilidad insuficiente para un fondo de inversión. El margen neto alcanzó 133.3% (distorsionado por estructura de ingresos no recurrentes), pero el margen operacional de 201.2% indica que la mayoría de ganancias provienen de valorización de activos, no de operaciones sostenibles. La calidad de ganancias es alta (100/100) sin dependencia de ganancias no realizadas, pero esto refleja la ausencia de volatilidad de valorización más que fortaleza operacional. El colapso de ingresos por anticipado (-66.5%) comprimió márgenes operacionales, mientras que el flujo operacional revirtió a positivo (+87.4 mil MM COP), señalando desalineación entre reconocimiento de ingresos y generación de caja. La sostenibilidad de rentabilidad depende de estabilización de línea de servicios (Inverlink -74.8%, PA Atlas -43.6%) y crecimiento de fideicomisos (+96.2%), cuya calidad de activos requiere monitoreo continuo. — Agente 4: Comparativo de ingresos operacionales vs. período anterior. Drivers de variación, composición de ingresos por valoración vs. dividendos vs. venta. Análisis de gastos operacionales y administrativos.</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4  </w:t>
      </w:r>
      <w:r>
        <w:rPr>
          <w:rFonts w:ascii="Arial" w:cs="Arial" w:eastAsia="Arial" w:hAnsi="Arial"/>
          <w:b/>
          <w:bCs/>
          <w:i w:val="false"/>
          <w:iCs w:val="false"/>
          <w:color w:val="FFFFFF"/>
          <w:sz w:val="26"/>
          <w:szCs w:val="26"/>
        </w:rPr>
        <w:t xml:space="preserve">INSTRUMENTOS FINANCIEROS DE INVERSIÓN</w:t>
      </w:r>
    </w:p>
    <w:p>
      <w:pPr>
        <w:shd w:fill="D0E4F5" w:val="clear"/>
        <w:spacing w:after="80" w:before="40"/>
      </w:pPr>
      <w:r>
        <w:rPr>
          <w:rFonts w:ascii="Arial" w:cs="Arial" w:eastAsia="Arial" w:hAnsi="Arial"/>
          <w:b w:val="false"/>
          <w:bCs w:val="false"/>
          <w:i/>
          <w:iCs/>
          <w:color w:val="1B2A4A"/>
          <w:sz w:val="18"/>
          <w:szCs w:val="18"/>
        </w:rPr>
        <w:t xml:space="preserve">  Composición del portafolio, jerarquía de valor razonable y variaciones — Nota 6</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4.1  Composición del Portafolio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Total Portafolio</w:t>
            </w:r>
          </w:p>
          <w:p>
            <w:pPr>
              <w:spacing w:before="40"/>
              <w:jc w:val="center"/>
            </w:pPr>
            <w:r>
              <w:rPr>
                <w:rFonts w:ascii="Arial" w:cs="Arial" w:eastAsia="Arial" w:hAnsi="Arial"/>
                <w:b/>
                <w:bCs/>
                <w:i w:val="false"/>
                <w:iCs w:val="false"/>
                <w:color w:val="1B2A4A"/>
                <w:sz w:val="32"/>
                <w:szCs w:val="32"/>
              </w:rPr>
              <w:t>4,418.2</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Renta Fija</w:t>
            </w:r>
          </w:p>
          <w:p>
            <w:pPr>
              <w:spacing w:before="40"/>
              <w:jc w:val="center"/>
            </w:pPr>
            <w:r>
              <w:rPr>
                <w:rFonts w:ascii="Arial" w:cs="Arial" w:eastAsia="Arial" w:hAnsi="Arial"/>
                <w:b/>
                <w:bCs/>
                <w:i w:val="false"/>
                <w:iCs w:val="false"/>
                <w:color w:val="1B2A4A"/>
                <w:sz w:val="32"/>
                <w:szCs w:val="32"/>
              </w:rPr>
              <w:t>0.0%</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Renta Variable</w:t>
            </w:r>
          </w:p>
          <w:p>
            <w:pPr>
              <w:spacing w:before="40"/>
              <w:jc w:val="center"/>
            </w:pPr>
            <w:r>
              <w:rPr>
                <w:rFonts w:ascii="Arial" w:cs="Arial" w:eastAsia="Arial" w:hAnsi="Arial"/>
                <w:b/>
                <w:bCs/>
                <w:i w:val="false"/>
                <w:iCs w:val="false"/>
                <w:color w:val="1B2A4A"/>
                <w:sz w:val="32"/>
                <w:szCs w:val="32"/>
              </w:rPr>
              <w:t>0.0%</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Liquidez / MM</w:t>
            </w:r>
          </w:p>
          <w:p>
            <w:pPr>
              <w:spacing w:before="40"/>
              <w:jc w:val="center"/>
            </w:pPr>
            <w:r>
              <w:rPr>
                <w:rFonts w:ascii="Arial" w:cs="Arial" w:eastAsia="Arial" w:hAnsi="Arial"/>
                <w:b/>
                <w:bCs/>
                <w:i w:val="false"/>
                <w:iCs w:val="false"/>
                <w:color w:val="1B2A4A"/>
                <w:sz w:val="32"/>
                <w:szCs w:val="32"/>
              </w:rPr>
              <w:t>0.0%</w:t>
            </w:r>
          </w:p>
        </w:tc>
      </w:tr>
    </w:tbl>
    <w:p>
      <w:pPr>
        <w:spacing w:after="80" w:before="8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1400"/>
        <w:gridCol w:w="1400"/>
        <w:gridCol w:w="738"/>
      </w:tblGrid>
      <w:tr>
        <w:trPr>
          <w:tblHeader/>
        </w:trPr>
        <w:tc>
          <w:tcPr>
            <w:tcW w:type="dxa" w:w="2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Emisor / Instrumento</w:t>
            </w:r>
          </w:p>
        </w:tc>
        <w:tc>
          <w:tcPr>
            <w:tcW w:type="dxa" w:w="1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Clase Activo</w:t>
            </w:r>
          </w:p>
        </w:tc>
        <w:tc>
          <w:tcPr>
            <w:tcW w:type="dxa" w:w="11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Nominal</w:t>
            </w:r>
          </w:p>
        </w:tc>
        <w:tc>
          <w:tcPr>
            <w:tcW w:type="dxa" w:w="1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Jun 2025</w:t>
            </w:r>
          </w:p>
        </w:tc>
        <w:tc>
          <w:tcPr>
            <w:tcW w:type="dxa" w:w="1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Dic 2024</w:t>
            </w:r>
          </w:p>
        </w:tc>
        <w:tc>
          <w:tcPr>
            <w:tcW w:type="dxa" w:w="7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w:t>
            </w:r>
          </w:p>
        </w:tc>
      </w:tr>
      <w:tr>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Fondo de Inversión - BTG Pactual Fondo Liquidez</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1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84.0</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116.3</w:t>
            </w:r>
          </w:p>
        </w:tc>
        <w:tc>
          <w:tcPr>
            <w:tcW w:type="dxa" w:w="7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-27.8%</w:t>
            </w:r>
          </w:p>
        </w:tc>
      </w:tr>
      <w:tr>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Fondos de Inversión</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1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84.0</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116.3</w:t>
            </w:r>
          </w:p>
        </w:tc>
        <w:tc>
          <w:tcPr>
            <w:tcW w:type="dxa" w:w="7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-27.8%</w:t>
            </w:r>
          </w:p>
        </w:tc>
      </w:tr>
      <w:tr>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Aportes de inversionistas</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1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0.4</w:t>
            </w: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10.7</w:t>
            </w:r>
          </w:p>
        </w:tc>
        <w:tc>
          <w:tcPr>
            <w:tcW w:type="dxa" w:w="7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-96.2%</w:t>
            </w:r>
          </w:p>
        </w:tc>
      </w:tr>
      <w:tr>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Retiros de inversionistas</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1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-53.1</w:t>
            </w: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-27.7</w:t>
            </w:r>
          </w:p>
        </w:tc>
        <w:tc>
          <w:tcPr>
            <w:tcW w:type="dxa" w:w="7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+92.1%</w:t>
            </w:r>
          </w:p>
        </w:tc>
      </w:tr>
      <w:tr>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r>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r>
      <w:tr>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r>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r>
      <w:tr>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r>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1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7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4.2  Jerarquía de Valor Razonable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958"/>
      </w:tblGrid>
      <w:tr>
        <w:trPr>
          <w:tblHeader/>
        </w:trPr>
        <w:tc>
          <w:tcPr>
            <w:tcW w:type="dxa" w:w="2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Categoría</w:t>
            </w:r>
          </w:p>
        </w:tc>
        <w:tc>
          <w:tcPr>
            <w:tcW w:type="dxa" w:w="176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Nivel 1 Jun 2025</w:t>
            </w:r>
          </w:p>
        </w:tc>
        <w:tc>
          <w:tcPr>
            <w:tcW w:type="dxa" w:w="176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Nivel 2 Jun 2025</w:t>
            </w:r>
          </w:p>
        </w:tc>
        <w:tc>
          <w:tcPr>
            <w:tcW w:type="dxa" w:w="176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Nivel 1 Dic 2024</w:t>
            </w:r>
          </w:p>
        </w:tc>
        <w:tc>
          <w:tcPr>
            <w:tcW w:type="dxa" w:w="195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Nivel 2 Dic 2024</w:t>
            </w:r>
          </w:p>
        </w:tc>
      </w:tr>
      <w:tr>
        <w:tc>
          <w:tcPr>
            <w:tcW w:type="dxa" w:w="2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Instrumentos de patrimonio</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95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Instrumentos de deuda</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95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Derivados</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95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76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195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4.3  Análisis del Portafolio — Agente IA</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La cartera de BTG P.Inmobiliario ejecuta una recomposición defensiva forzada por presión de redenciones, rotando desde renta variable concentrada hacia instrumentos de menor volatilidad. La estructura permanece críticamente concentrada con TOP1 en 50.6% y TOP3 en 66.9% del patrimonio, eliminando beneficios de diversificación. El Fondo BTG Pactual Fondo Liquidez representa el 100% de inversiones, generando riesgo idiosincrático extremo sin alternativas de rebalanceo. La composición de ingresos se reorienta hacia fideicomisos (+96.2%), compensando contracción severa en servicios de administración (Inverlink -74.8%, PA Atlas -43.6%), reflejando cambio estructural en modelo de negocio. Derechos fiduciarios concentran 93.6% de activos financieros, exponiendo el fondo a riesgo de calidad de activos inmobiliarios subyacentes. La liquidación de posiciones para cubrir redenciones (-40.2 mil MM COP) en contexto de concentración extrema amplifica riesgo de cascada de ventas en escenarios de estrés de liquidez. Rendimiento de inversiones (+56.6 mil MM COP) compensa parcialmente presión de redenciones, pero sostenibilidad depende de continuidad de entorno de tasas estables. — Agente 4: Rotación de posiciones respecto a período anterior. Nuevas posiciones significativas (Bonos US, SSGA, Grupo CIBEST). Posiciones liquidadas. Concentración por emisor / clase de activo. Alineación con política de inversión del Fondo.</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5  </w:t>
      </w:r>
      <w:r>
        <w:rPr>
          <w:rFonts w:ascii="Arial" w:cs="Arial" w:eastAsia="Arial" w:hAnsi="Arial"/>
          <w:b/>
          <w:bCs/>
          <w:i w:val="false"/>
          <w:iCs w:val="false"/>
          <w:color w:val="FFFFFF"/>
          <w:sz w:val="26"/>
          <w:szCs w:val="26"/>
        </w:rPr>
        <w:t xml:space="preserve">ACTIVOS NETOS DE LOS INVERSIONISTAS</w:t>
      </w:r>
    </w:p>
    <w:p>
      <w:pPr>
        <w:shd w:fill="D0E4F5" w:val="clear"/>
        <w:spacing w:after="80" w:before="40"/>
      </w:pPr>
      <w:r>
        <w:rPr>
          <w:rFonts w:ascii="Arial" w:cs="Arial" w:eastAsia="Arial" w:hAnsi="Arial"/>
          <w:b w:val="false"/>
          <w:bCs w:val="false"/>
          <w:i/>
          <w:iCs/>
          <w:color w:val="1B2A4A"/>
          <w:sz w:val="18"/>
          <w:szCs w:val="18"/>
        </w:rPr>
        <w:t xml:space="preserve">  Composición por clase, valor unitario y movimientos — Nota 8</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5.1  Composición por Clase</w:t>
      </w:r>
    </w:p>
    <w:p>
      <w:pPr>
        <w:spacing w:after="40" w:before="40"/>
      </w:pP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600"/>
        <w:gridCol w:w="1400"/>
        <w:gridCol w:w="1900"/>
        <w:gridCol w:w="1238"/>
      </w:tblGrid>
      <w:tr>
        <w:trPr>
          <w:tblHeader/>
        </w:trPr>
        <w:tc>
          <w:tcPr>
            <w:tcW w:type="dxa" w:w="17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Clase</w:t>
            </w:r>
          </w:p>
        </w:tc>
        <w:tc>
          <w:tcPr>
            <w:tcW w:type="dxa" w:w="1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Unidad</w:t>
            </w:r>
          </w:p>
        </w:tc>
        <w:tc>
          <w:tcPr>
            <w:tcW w:type="dxa" w:w="1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Unidades Circ.</w:t>
            </w:r>
          </w:p>
        </w:tc>
        <w:tc>
          <w:tcPr>
            <w:tcW w:type="dxa" w:w="1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Suscriptores</w:t>
            </w:r>
          </w:p>
        </w:tc>
        <w:tc>
          <w:tcPr>
            <w:tcW w:type="dxa" w:w="19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del Fondo</w:t>
            </w:r>
          </w:p>
        </w:tc>
        <w:tc>
          <w:tcPr>
            <w:tcW w:type="dxa" w:w="12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 VU %</w:t>
            </w:r>
          </w:p>
        </w:tc>
      </w:tr>
      <w:tr>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9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r>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9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2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r>
      <w:tr>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9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r>
        <w:tc>
          <w:tcPr>
            <w:tcW w:type="dxa" w:w="17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9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c>
          <w:tcPr>
            <w:tcW w:type="dxa" w:w="12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p>
        </w:tc>
      </w:tr>
      <w:tr>
        <w:tc>
          <w:tcPr>
            <w:tcW w:type="dxa" w:w="17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9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c>
          <w:tcPr>
            <w:tcW w:type="dxa" w:w="12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5.2  Movimientos del Período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tblHeader/>
        </w:trPr>
        <w:tc>
          <w:tcPr>
            <w:tcW w:type="dxa" w:w="3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Concepto</w:t>
            </w:r>
          </w:p>
        </w:tc>
        <w:tc>
          <w:tcPr>
            <w:tcW w:type="dxa" w:w="2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Jun 2025 (COP miles)</w:t>
            </w:r>
          </w:p>
        </w:tc>
        <w:tc>
          <w:tcPr>
            <w:tcW w:type="dxa" w:w="2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Jun 2024 (COP miles)</w:t>
            </w:r>
          </w:p>
        </w:tc>
        <w:tc>
          <w:tcPr>
            <w:tcW w:type="dxa" w:w="24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Variación</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Saldo inicial (NAV apertura)</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4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Suscripciones / redenciones netas</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4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Resultado del período</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4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3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Saldo final (NAV cierre)</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1,235.9</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4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5.3  Análisis de Flujos y Desempeño</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El patrimonio del fondo creció marginalmente 5.3% a COP 1,235.9 mil MM pese a redenciones netas de -52.7 mil MM COP, impulsado por rendimiento de inversiones (+56.6 mil MM COP) que generó ganancias no realizadas. El flujo neto de inversionistas fue negativo, reflejando presión de salidas que requirió liquidación selectiva de portafolio (-40.2 mil MM COP) para cubrir redenciones sin requerir financiamiento externo. La capacidad de absorción de redenciones depende de continuidad de rendimiento de inversiones en entorno de tasas estables; alza de tasas revertiría colchón de ganancias no realizadas y presionaría estructura. El crecimiento de patrimonio es insuficiente dado que la tasa de crecimiento anualizada (5.3% en 6 meses) no compensa presión de redenciones ni genera atractivo para nuevas inversiones. La concentración extrema de cartera (TOP1: 50.6%) amplifica volatilidad de NAV ante movimientos de valorización del Fondo BTG Pactual Fondo Liquidez. La ausencia de efectivo (0.0% de activos) genera vulnerabilidad operativa ante shocks de liquidez que requeriría liquidación de posiciones en condiciones potencialmente adversas. — Agente 4 + Agente 5: Decrecimiento del valor del fondo (-8.94% YTD). Flujos netos de inversionistas. Clases con mayor entrada / salida. Impacto en valor unitario por clase. Rentabilidad atribuible a gestión vs. mercado.</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6  </w:t>
      </w:r>
      <w:r>
        <w:rPr>
          <w:rFonts w:ascii="Arial" w:cs="Arial" w:eastAsia="Arial" w:hAnsi="Arial"/>
          <w:b/>
          <w:bCs/>
          <w:i w:val="false"/>
          <w:iCs w:val="false"/>
          <w:color w:val="FFFFFF"/>
          <w:sz w:val="26"/>
          <w:szCs w:val="26"/>
        </w:rPr>
        <w:t xml:space="preserve">HALLAZGOS AUTOMÁTICOS DEL SISTEMA</w:t>
      </w:r>
    </w:p>
    <w:p>
      <w:pPr>
        <w:shd w:fill="D0E4F5" w:val="clear"/>
        <w:spacing w:after="80" w:before="40"/>
      </w:pPr>
      <w:r>
        <w:rPr>
          <w:rFonts w:ascii="Arial" w:cs="Arial" w:eastAsia="Arial" w:hAnsi="Arial"/>
          <w:b w:val="false"/>
          <w:bCs w:val="false"/>
          <w:i/>
          <w:iCs/>
          <w:color w:val="1B2A4A"/>
          <w:sz w:val="18"/>
          <w:szCs w:val="18"/>
        </w:rPr>
        <w:t xml:space="preserve">  Detecciones de variaciones materiales, alertas y oportunidades — Agente 4 &amp; 6</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6.1  Hallazgos de Alta Prioridad</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C0392B" w:sz="4"/>
              <w:left w:val="single" w:color="C0392B" w:sz="4"/>
              <w:bottom w:val="single" w:color="C0392B" w:sz="4"/>
              <w:right w:val="single" w:color="C0392B" w:sz="4"/>
            </w:tcBorders>
            <w:shd w:fill="C0392B"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ALERTA</w:t>
            </w:r>
          </w:p>
          <w:p>
            <w:pPr>
              <w:jc w:val="center"/>
            </w:pPr>
            <w:r>
              <w:rPr>
                <w:rFonts w:ascii="Arial" w:cs="Arial" w:eastAsia="Arial" w:hAnsi="Arial"/>
                <w:b/>
                <w:bCs/>
                <w:i w:val="false"/>
                <w:iCs w:val="false"/>
                <w:color w:val="FFFFFF"/>
                <w:sz w:val="24"/>
                <w:szCs w:val="24"/>
              </w:rPr>
              <w:t xml:space="preserve">#1</w:t>
            </w:r>
          </w:p>
        </w:tc>
        <w:tc>
          <w:tcPr>
            <w:tcW w:type="dxa" w:w="9338"/>
            <w:tcBorders>
              <w:top w:val="single" w:color="C0392B" w:sz="4"/>
              <w:left w:val="single" w:color="C0392B" w:sz="4"/>
              <w:bottom w:val="single" w:color="C0392B" w:sz="4"/>
              <w:right w:val="single" w:color="C0392B" w:sz="4"/>
            </w:tcBorders>
            <w:shd w:fill="FDECEA" w:val="clear"/>
            <w:tcMar>
              <w:top w:type="dxa" w:w="80"/>
              <w:left w:type="dxa" w:w="120"/>
              <w:bottom w:type="dxa" w:w="80"/>
              <w:right w:type="dxa" w:w="120"/>
            </w:tcMar>
          </w:tcPr>
          <w:p>
            <w:r>
              <w:rPr>
                <w:rFonts w:ascii="Arial" w:cs="Arial" w:eastAsia="Arial" w:hAnsi="Arial"/>
                <w:b/>
                <w:bCs/>
                <w:i w:val="false"/>
                <w:iCs w:val="false"/>
                <w:color w:val="C0392B"/>
                <w:sz w:val="20"/>
                <w:szCs w:val="20"/>
              </w:rPr>
              <w:t>Flujo de efectivo operacional</w:t>
            </w:r>
          </w:p>
          <w:p>
            <w:pPr>
              <w:spacing w:before="40"/>
            </w:pPr>
            <w:r>
              <w:rPr>
                <w:rFonts w:ascii="Arial" w:cs="Arial" w:eastAsia="Arial" w:hAnsi="Arial"/>
                <w:b w:val="false"/>
                <w:bCs w:val="false"/>
                <w:i/>
                <w:iCs/>
                <w:color w:val="8B5E00"/>
                <w:sz w:val="18"/>
                <w:szCs w:val="18"/>
              </w:rPr>
              <w:t>El fondo pasó de drenaje operacional a generación material de caja tras absorber presión de redenciones. La reversión refleja estabilización de flujos de fideicomisos y normalización del ciclo de cobros.</w:t>
            </w:r>
          </w:p>
          <w:p>
            <w:pPr>
              <w:spacing w:before="40"/>
            </w:pPr>
            <w:r>
              <w:rPr>
                <w:rFonts w:ascii="Arial" w:cs="Arial" w:eastAsia="Arial" w:hAnsi="Arial"/>
                <w:b/>
                <w:bCs/>
                <w:i w:val="false"/>
                <w:iCs w:val="false"/>
                <w:color w:val="3D3D5C"/>
                <w:sz w:val="16"/>
                <w:szCs w:val="16"/>
              </w:rPr>
              <w:t>Cuenta(s) afectada(s): Flujo de efectivo operacional   |   Impacto: Alta · -248.8%</w:t>
            </w:r>
          </w:p>
        </w:tc>
      </w:tr>
    </w:tbl>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C0392B" w:sz="4"/>
              <w:left w:val="single" w:color="C0392B" w:sz="4"/>
              <w:bottom w:val="single" w:color="C0392B" w:sz="4"/>
              <w:right w:val="single" w:color="C0392B" w:sz="4"/>
            </w:tcBorders>
            <w:shd w:fill="C0392B"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ALERTA</w:t>
            </w:r>
          </w:p>
          <w:p>
            <w:pPr>
              <w:jc w:val="center"/>
            </w:pPr>
            <w:r>
              <w:rPr>
                <w:rFonts w:ascii="Arial" w:cs="Arial" w:eastAsia="Arial" w:hAnsi="Arial"/>
                <w:b/>
                <w:bCs/>
                <w:i w:val="false"/>
                <w:iCs w:val="false"/>
                <w:color w:val="FFFFFF"/>
                <w:sz w:val="24"/>
                <w:szCs w:val="24"/>
              </w:rPr>
              <w:t xml:space="preserve">#2</w:t>
            </w:r>
          </w:p>
        </w:tc>
        <w:tc>
          <w:tcPr>
            <w:tcW w:type="dxa" w:w="9338"/>
            <w:tcBorders>
              <w:top w:val="single" w:color="C0392B" w:sz="4"/>
              <w:left w:val="single" w:color="C0392B" w:sz="4"/>
              <w:bottom w:val="single" w:color="C0392B" w:sz="4"/>
              <w:right w:val="single" w:color="C0392B" w:sz="4"/>
            </w:tcBorders>
            <w:shd w:fill="FDECEA" w:val="clear"/>
            <w:tcMar>
              <w:top w:type="dxa" w:w="80"/>
              <w:left w:type="dxa" w:w="120"/>
              <w:bottom w:type="dxa" w:w="80"/>
              <w:right w:type="dxa" w:w="120"/>
            </w:tcMar>
          </w:tcPr>
          <w:p>
            <w:r>
              <w:rPr>
                <w:rFonts w:ascii="Arial" w:cs="Arial" w:eastAsia="Arial" w:hAnsi="Arial"/>
                <w:b/>
                <w:bCs/>
                <w:i w:val="false"/>
                <w:iCs w:val="false"/>
                <w:color w:val="C0392B"/>
                <w:sz w:val="20"/>
                <w:szCs w:val="20"/>
              </w:rPr>
              <w:t>Ingresos recibidos por anticipado</w:t>
            </w:r>
          </w:p>
          <w:p>
            <w:pPr>
              <w:spacing w:before="40"/>
            </w:pPr>
            <w:r>
              <w:rPr>
                <w:rFonts w:ascii="Arial" w:cs="Arial" w:eastAsia="Arial" w:hAnsi="Arial"/>
                <w:b w:val="false"/>
                <w:bCs w:val="false"/>
                <w:i/>
                <w:iCs/>
                <w:color w:val="8B5E00"/>
                <w:sz w:val="18"/>
                <w:szCs w:val="18"/>
              </w:rPr>
              <w:t>El colapso de ingresos por anticipado señala deterioro en calidad de compromisos de clientes y posible renegociación de contratos. Impacta directamente cobertura de gastos fijos del fondo.</w:t>
            </w:r>
          </w:p>
          <w:p>
            <w:pPr>
              <w:spacing w:before="40"/>
            </w:pPr>
            <w:r>
              <w:rPr>
                <w:rFonts w:ascii="Arial" w:cs="Arial" w:eastAsia="Arial" w:hAnsi="Arial"/>
                <w:b/>
                <w:bCs/>
                <w:i w:val="false"/>
                <w:iCs w:val="false"/>
                <w:color w:val="3D3D5C"/>
                <w:sz w:val="16"/>
                <w:szCs w:val="16"/>
              </w:rPr>
              <w:t>Cuenta(s) afectada(s): Ingresos recibidos por anticipado   |   Impacto: Alta · -66.5%</w:t>
            </w:r>
          </w:p>
        </w:tc>
      </w:tr>
    </w:tbl>
    <w:p>
      <w:pPr>
        <w:spacing w:after="60" w:before="6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6.2  Hallazgos de Riesgo Moderado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D4A017" w:sz="4"/>
              <w:left w:val="single" w:color="D4A017" w:sz="4"/>
              <w:bottom w:val="single" w:color="D4A017" w:sz="4"/>
              <w:right w:val="single" w:color="D4A017" w:sz="4"/>
            </w:tcBorders>
            <w:shd w:fill="D4A01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RIESGO</w:t>
            </w:r>
          </w:p>
          <w:p>
            <w:pPr>
              <w:jc w:val="center"/>
            </w:pPr>
            <w:r>
              <w:rPr>
                <w:rFonts w:ascii="Arial" w:cs="Arial" w:eastAsia="Arial" w:hAnsi="Arial"/>
                <w:b/>
                <w:bCs/>
                <w:i w:val="false"/>
                <w:iCs w:val="false"/>
                <w:color w:val="FFFFFF"/>
                <w:sz w:val="24"/>
                <w:szCs w:val="24"/>
              </w:rPr>
              <w:t xml:space="preserve">#3</w:t>
            </w:r>
          </w:p>
        </w:tc>
        <w:tc>
          <w:tcPr>
            <w:tcW w:type="dxa" w:w="9338"/>
            <w:tcBorders>
              <w:top w:val="single" w:color="D4A017" w:sz="4"/>
              <w:left w:val="single" w:color="D4A017" w:sz="4"/>
              <w:bottom w:val="single" w:color="D4A017" w:sz="4"/>
              <w:right w:val="single" w:color="D4A017" w:sz="4"/>
            </w:tcBorders>
            <w:shd w:fill="FFF8E1" w:val="clear"/>
            <w:tcMar>
              <w:top w:type="dxa" w:w="80"/>
              <w:left w:type="dxa" w:w="120"/>
              <w:bottom w:type="dxa" w:w="80"/>
              <w:right w:type="dxa" w:w="120"/>
            </w:tcMar>
          </w:tcPr>
          <w:p>
            <w:r>
              <w:rPr>
                <w:rFonts w:ascii="Arial" w:cs="Arial" w:eastAsia="Arial" w:hAnsi="Arial"/>
                <w:b/>
                <w:bCs/>
                <w:i w:val="false"/>
                <w:iCs w:val="false"/>
                <w:color w:val="D4A017"/>
                <w:sz w:val="20"/>
                <w:szCs w:val="20"/>
              </w:rPr>
              <w:t>Disminución neta de efectivo</w:t>
            </w:r>
          </w:p>
          <w:p>
            <w:pPr>
              <w:spacing w:before="40"/>
            </w:pPr>
            <w:r>
              <w:rPr>
                <w:rFonts w:ascii="Arial" w:cs="Arial" w:eastAsia="Arial" w:hAnsi="Arial"/>
                <w:b w:val="false"/>
                <w:bCs w:val="false"/>
                <w:i/>
                <w:iCs/>
                <w:color w:val="8B5E00"/>
                <w:sz w:val="18"/>
                <w:szCs w:val="18"/>
              </w:rPr>
              <w:t>El fondo cierra el ciclo de presión de liquidez. La reversión casi completa del drenaje indica que redenciones fueron absorbidas mediante liquidación de portafolio sin requerir financiamiento externo.</w:t>
            </w:r>
          </w:p>
          <w:p>
            <w:pPr>
              <w:spacing w:before="40"/>
            </w:pPr>
            <w:r>
              <w:rPr>
                <w:rFonts w:ascii="Arial" w:cs="Arial" w:eastAsia="Arial" w:hAnsi="Arial"/>
                <w:b/>
                <w:bCs/>
                <w:i w:val="false"/>
                <w:iCs w:val="false"/>
                <w:color w:val="3D3D5C"/>
                <w:sz w:val="16"/>
                <w:szCs w:val="16"/>
              </w:rPr>
              <w:t>Cuenta(s) afectada(s): Disminución neta de efectivo   |   Impacto: Alta · -99.2%</w:t>
            </w:r>
          </w:p>
        </w:tc>
      </w:tr>
    </w:tbl>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D4A017" w:sz="4"/>
              <w:left w:val="single" w:color="D4A017" w:sz="4"/>
              <w:bottom w:val="single" w:color="D4A017" w:sz="4"/>
              <w:right w:val="single" w:color="D4A017" w:sz="4"/>
            </w:tcBorders>
            <w:shd w:fill="D4A01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RIESGO</w:t>
            </w:r>
          </w:p>
          <w:p>
            <w:pPr>
              <w:jc w:val="center"/>
            </w:pPr>
            <w:r>
              <w:rPr>
                <w:rFonts w:ascii="Arial" w:cs="Arial" w:eastAsia="Arial" w:hAnsi="Arial"/>
                <w:b/>
                <w:bCs/>
                <w:i w:val="false"/>
                <w:iCs w:val="false"/>
                <w:color w:val="FFFFFF"/>
                <w:sz w:val="24"/>
                <w:szCs w:val="24"/>
              </w:rPr>
              <w:t xml:space="preserve">#4</w:t>
            </w:r>
          </w:p>
        </w:tc>
        <w:tc>
          <w:tcPr>
            <w:tcW w:type="dxa" w:w="9338"/>
            <w:tcBorders>
              <w:top w:val="single" w:color="D4A017" w:sz="4"/>
              <w:left w:val="single" w:color="D4A017" w:sz="4"/>
              <w:bottom w:val="single" w:color="D4A017" w:sz="4"/>
              <w:right w:val="single" w:color="D4A017" w:sz="4"/>
            </w:tcBorders>
            <w:shd w:fill="FFF8E1" w:val="clear"/>
            <w:tcMar>
              <w:top w:type="dxa" w:w="80"/>
              <w:left w:type="dxa" w:w="120"/>
              <w:bottom w:type="dxa" w:w="80"/>
              <w:right w:type="dxa" w:w="120"/>
            </w:tcMar>
          </w:tcPr>
          <w:p>
            <w:r>
              <w:rPr>
                <w:rFonts w:ascii="Arial" w:cs="Arial" w:eastAsia="Arial" w:hAnsi="Arial"/>
                <w:b/>
                <w:bCs/>
                <w:i w:val="false"/>
                <w:iCs w:val="false"/>
                <w:color w:val="D4A017"/>
                <w:sz w:val="20"/>
                <w:szCs w:val="20"/>
              </w:rPr>
              <w:t>Flujo de efectivo de financiación</w:t>
            </w:r>
          </w:p>
          <w:p>
            <w:pPr>
              <w:spacing w:before="40"/>
            </w:pPr>
            <w:r>
              <w:rPr>
                <w:rFonts w:ascii="Arial" w:cs="Arial" w:eastAsia="Arial" w:hAnsi="Arial"/>
                <w:b w:val="false"/>
                <w:bCs w:val="false"/>
                <w:i/>
                <w:iCs/>
                <w:color w:val="8B5E00"/>
                <w:sz w:val="18"/>
                <w:szCs w:val="18"/>
              </w:rPr>
              <w:t>Cuenta Flujo de efectivo de financiación: Crecimiento fuerte (+211.5%, -35,793.1 COP MM). Materialidad: MEDIUM. Impact score: 40/100.</w:t>
            </w:r>
          </w:p>
          <w:p>
            <w:pPr>
              <w:spacing w:before="40"/>
            </w:pPr>
            <w:r>
              <w:rPr>
                <w:rFonts w:ascii="Arial" w:cs="Arial" w:eastAsia="Arial" w:hAnsi="Arial"/>
                <w:b/>
                <w:bCs/>
                <w:i w:val="false"/>
                <w:iCs w:val="false"/>
                <w:color w:val="3D3D5C"/>
                <w:sz w:val="16"/>
                <w:szCs w:val="16"/>
              </w:rPr>
              <w:t>Cuenta(s) afectada(s): Flujo de efectivo de financiación   |   Impacto: Media · +211.5%</w:t>
            </w:r>
          </w:p>
        </w:tc>
      </w:tr>
    </w:tbl>
    <w:p>
      <w:pPr>
        <w:spacing w:after="60" w:before="6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6.3  Hallazgos Positivos / Oportunidades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1A7A4A" w:sz="4"/>
              <w:left w:val="single" w:color="1A7A4A" w:sz="4"/>
              <w:bottom w:val="single" w:color="1A7A4A" w:sz="4"/>
              <w:right w:val="single" w:color="1A7A4A" w:sz="4"/>
            </w:tcBorders>
            <w:shd w:fill="1A7A4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POSITIVO</w:t>
            </w:r>
          </w:p>
          <w:p>
            <w:pPr>
              <w:jc w:val="center"/>
            </w:pPr>
            <w:r>
              <w:rPr>
                <w:rFonts w:ascii="Arial" w:cs="Arial" w:eastAsia="Arial" w:hAnsi="Arial"/>
                <w:b/>
                <w:bCs/>
                <w:i w:val="false"/>
                <w:iCs w:val="false"/>
                <w:color w:val="FFFFFF"/>
                <w:sz w:val="24"/>
                <w:szCs w:val="24"/>
              </w:rPr>
              <w:t xml:space="preserve">#5</w:t>
            </w:r>
          </w:p>
        </w:tc>
        <w:tc>
          <w:tcPr>
            <w:tcW w:type="dxa" w:w="9338"/>
            <w:tcBorders>
              <w:top w:val="single" w:color="1A7A4A" w:sz="4"/>
              <w:left w:val="single" w:color="1A7A4A" w:sz="4"/>
              <w:bottom w:val="single" w:color="1A7A4A" w:sz="4"/>
              <w:right w:val="single" w:color="1A7A4A" w:sz="4"/>
            </w:tcBorders>
            <w:shd w:fill="E8F5EC" w:val="clear"/>
            <w:tcMar>
              <w:top w:type="dxa" w:w="80"/>
              <w:left w:type="dxa" w:w="120"/>
              <w:bottom w:type="dxa" w:w="80"/>
              <w:right w:type="dxa" w:w="120"/>
            </w:tcMar>
          </w:tcPr>
          <w:p>
            <w:r>
              <w:rPr>
                <w:rFonts w:ascii="Arial" w:cs="Arial" w:eastAsia="Arial" w:hAnsi="Arial"/>
                <w:b/>
                <w:bCs/>
                <w:i w:val="false"/>
                <w:iCs w:val="false"/>
                <w:color w:val="1A7A4A"/>
                <w:sz w:val="20"/>
                <w:szCs w:val="20"/>
              </w:rPr>
              <w:t>Ingresos recibidos por anticipado - Inverlink</w:t>
            </w:r>
          </w:p>
          <w:p>
            <w:pPr>
              <w:spacing w:before="40"/>
            </w:pPr>
            <w:r>
              <w:rPr>
                <w:rFonts w:ascii="Arial" w:cs="Arial" w:eastAsia="Arial" w:hAnsi="Arial"/>
                <w:b w:val="false"/>
                <w:bCs w:val="false"/>
                <w:i/>
                <w:iCs/>
                <w:color w:val="8B5E00"/>
                <w:sz w:val="18"/>
                <w:szCs w:val="18"/>
              </w:rPr>
              <w:t>Cuenta Ingresos recibidos por anticipado - Inverlink: Contracción fuerte (-74.8%, -17,860.0 COP MM). Materialidad: LOW. Impact score: 21/100.</w:t>
            </w:r>
          </w:p>
          <w:p>
            <w:pPr>
              <w:spacing w:before="40"/>
            </w:pPr>
            <w:r>
              <w:rPr>
                <w:rFonts w:ascii="Arial" w:cs="Arial" w:eastAsia="Arial" w:hAnsi="Arial"/>
                <w:b/>
                <w:bCs/>
                <w:i w:val="false"/>
                <w:iCs w:val="false"/>
                <w:color w:val="3D3D5C"/>
                <w:sz w:val="16"/>
                <w:szCs w:val="16"/>
              </w:rPr>
              <w:t>Cuenta(s) afectada(s): Ingresos recibidos por anticipado - Inverlink   |   Impacto: Baja · -74.8%</w:t>
            </w:r>
          </w:p>
        </w:tc>
      </w:tr>
    </w:tbl>
    <w:p>
      <w:pPr>
        <w:spacing w:after="60" w:before="6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6.4  Hallazgos Informativos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2E4A7A" w:sz="4"/>
              <w:left w:val="single" w:color="2E4A7A" w:sz="4"/>
              <w:bottom w:val="single" w:color="2E4A7A" w:sz="4"/>
              <w:right w:val="single" w:color="2E4A7A" w:sz="4"/>
            </w:tcBorders>
            <w:shd w:fill="2E4A7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HALLAZGO</w:t>
            </w:r>
          </w:p>
          <w:p>
            <w:pPr>
              <w:jc w:val="center"/>
            </w:pPr>
            <w:r>
              <w:rPr>
                <w:rFonts w:ascii="Arial" w:cs="Arial" w:eastAsia="Arial" w:hAnsi="Arial"/>
                <w:b/>
                <w:bCs/>
                <w:i w:val="false"/>
                <w:iCs w:val="false"/>
                <w:color w:val="FFFFFF"/>
                <w:sz w:val="24"/>
                <w:szCs w:val="24"/>
              </w:rPr>
              <w:t xml:space="preserve">#6</w:t>
            </w:r>
          </w:p>
        </w:tc>
        <w:tc>
          <w:tcPr>
            <w:tcW w:type="dxa" w:w="9338"/>
            <w:tcBorders>
              <w:top w:val="single" w:color="2E4A7A" w:sz="4"/>
              <w:left w:val="single" w:color="2E4A7A" w:sz="4"/>
              <w:bottom w:val="single" w:color="2E4A7A" w:sz="4"/>
              <w:right w:val="single" w:color="2E4A7A" w:sz="4"/>
            </w:tcBorders>
            <w:shd w:fill="EBF0FA" w:val="clear"/>
            <w:tcMar>
              <w:top w:type="dxa" w:w="80"/>
              <w:left w:type="dxa" w:w="120"/>
              <w:bottom w:type="dxa" w:w="80"/>
              <w:right w:type="dxa" w:w="120"/>
            </w:tcMar>
          </w:tcPr>
          <w:p>
            <w:r>
              <w:rPr>
                <w:rFonts w:ascii="Arial" w:cs="Arial" w:eastAsia="Arial" w:hAnsi="Arial"/>
                <w:b/>
                <w:bCs/>
                <w:i w:val="false"/>
                <w:iCs w:val="false"/>
                <w:color w:val="2E4A7A"/>
                <w:sz w:val="20"/>
                <w:szCs w:val="20"/>
              </w:rPr>
              <w:t>Aportes de inversionistas</w:t>
            </w:r>
          </w:p>
          <w:p>
            <w:pPr>
              <w:spacing w:before="40"/>
            </w:pPr>
            <w:r>
              <w:rPr>
                <w:rFonts w:ascii="Arial" w:cs="Arial" w:eastAsia="Arial" w:hAnsi="Arial"/>
                <w:b w:val="false"/>
                <w:bCs w:val="false"/>
                <w:i/>
                <w:iCs/>
                <w:color w:val="8B5E00"/>
                <w:sz w:val="18"/>
                <w:szCs w:val="18"/>
              </w:rPr>
              <w:t>Cuenta Aportes de inversionistas: Contracción fuerte (-96.2%, -10,325.5 COP MM). Materialidad: LOW. Impact score: 20/100.</w:t>
            </w:r>
          </w:p>
          <w:p>
            <w:pPr>
              <w:spacing w:before="40"/>
            </w:pPr>
            <w:r>
              <w:rPr>
                <w:rFonts w:ascii="Arial" w:cs="Arial" w:eastAsia="Arial" w:hAnsi="Arial"/>
                <w:b/>
                <w:bCs/>
                <w:i w:val="false"/>
                <w:iCs w:val="false"/>
                <w:color w:val="3D3D5C"/>
                <w:sz w:val="16"/>
                <w:szCs w:val="16"/>
              </w:rPr>
              <w:t>Cuenta(s) afectada(s): Aportes de inversionistas   |   Impacto: Baja · -96.2%</w:t>
            </w:r>
          </w:p>
        </w:tc>
      </w:tr>
    </w:tbl>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single" w:color="2E4A7A" w:sz="4"/>
              <w:left w:val="single" w:color="2E4A7A" w:sz="4"/>
              <w:bottom w:val="single" w:color="2E4A7A" w:sz="4"/>
              <w:right w:val="single" w:color="2E4A7A" w:sz="4"/>
            </w:tcBorders>
            <w:shd w:fill="2E4A7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6"/>
                <w:szCs w:val="16"/>
              </w:rPr>
              <w:t xml:space="preserve">HALLAZGO</w:t>
            </w:r>
          </w:p>
          <w:p>
            <w:pPr>
              <w:jc w:val="center"/>
            </w:pPr>
            <w:r>
              <w:rPr>
                <w:rFonts w:ascii="Arial" w:cs="Arial" w:eastAsia="Arial" w:hAnsi="Arial"/>
                <w:b/>
                <w:bCs/>
                <w:i w:val="false"/>
                <w:iCs w:val="false"/>
                <w:color w:val="FFFFFF"/>
                <w:sz w:val="24"/>
                <w:szCs w:val="24"/>
              </w:rPr>
              <w:t xml:space="preserve">#7</w:t>
            </w:r>
          </w:p>
        </w:tc>
        <w:tc>
          <w:tcPr>
            <w:tcW w:type="dxa" w:w="9338"/>
            <w:tcBorders>
              <w:top w:val="single" w:color="2E4A7A" w:sz="4"/>
              <w:left w:val="single" w:color="2E4A7A" w:sz="4"/>
              <w:bottom w:val="single" w:color="2E4A7A" w:sz="4"/>
              <w:right w:val="single" w:color="2E4A7A" w:sz="4"/>
            </w:tcBorders>
            <w:shd w:fill="EBF0FA" w:val="clear"/>
            <w:tcMar>
              <w:top w:type="dxa" w:w="80"/>
              <w:left w:type="dxa" w:w="120"/>
              <w:bottom w:type="dxa" w:w="80"/>
              <w:right w:type="dxa" w:w="120"/>
            </w:tcMar>
          </w:tcPr>
          <w:p>
            <w:r>
              <w:rPr>
                <w:rFonts w:ascii="Arial" w:cs="Arial" w:eastAsia="Arial" w:hAnsi="Arial"/>
                <w:b/>
                <w:bCs/>
                <w:i w:val="false"/>
                <w:iCs w:val="false"/>
                <w:color w:val="2E4A7A"/>
                <w:sz w:val="20"/>
                <w:szCs w:val="20"/>
              </w:rPr>
              <w:t>Ingresos recibidos por anticipado - Terranova 93</w:t>
            </w:r>
          </w:p>
          <w:p>
            <w:pPr>
              <w:spacing w:before="40"/>
            </w:pPr>
            <w:r>
              <w:rPr>
                <w:rFonts w:ascii="Arial" w:cs="Arial" w:eastAsia="Arial" w:hAnsi="Arial"/>
                <w:b w:val="false"/>
                <w:bCs w:val="false"/>
                <w:i/>
                <w:iCs/>
                <w:color w:val="8B5E00"/>
                <w:sz w:val="18"/>
                <w:szCs w:val="18"/>
              </w:rPr>
              <w:t>Cuenta Ingresos recibidos por anticipado - Terranova 93: Contracción fuerte (-87.2%, -4,920.0 COP MM). Materialidad: LOW. Impact score: 20/100.</w:t>
            </w:r>
          </w:p>
          <w:p>
            <w:pPr>
              <w:spacing w:before="40"/>
            </w:pPr>
            <w:r>
              <w:rPr>
                <w:rFonts w:ascii="Arial" w:cs="Arial" w:eastAsia="Arial" w:hAnsi="Arial"/>
                <w:b/>
                <w:bCs/>
                <w:i w:val="false"/>
                <w:iCs w:val="false"/>
                <w:color w:val="3D3D5C"/>
                <w:sz w:val="16"/>
                <w:szCs w:val="16"/>
              </w:rPr>
              <w:t>Cuenta(s) afectada(s): Ingresos recibidos por anticipado - Terranova 93   |   Impacto: Baja · -87.2%</w:t>
            </w:r>
          </w:p>
        </w:tc>
      </w:tr>
    </w:tbl>
    <w:p>
      <w:pPr>
        <w:spacing w:after="60" w:before="60"/>
      </w:pP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7  </w:t>
      </w:r>
      <w:r>
        <w:rPr>
          <w:rFonts w:ascii="Arial" w:cs="Arial" w:eastAsia="Arial" w:hAnsi="Arial"/>
          <w:b/>
          <w:bCs/>
          <w:i w:val="false"/>
          <w:iCs w:val="false"/>
          <w:color w:val="FFFFFF"/>
          <w:sz w:val="26"/>
          <w:szCs w:val="26"/>
        </w:rPr>
        <w:t xml:space="preserve">ANÁLISIS NIIF Y BORRADOR DE NOTAS CONTABLES</w:t>
      </w:r>
    </w:p>
    <w:p>
      <w:pPr>
        <w:shd w:fill="D0E4F5" w:val="clear"/>
        <w:spacing w:after="80" w:before="40"/>
      </w:pPr>
      <w:r>
        <w:rPr>
          <w:rFonts w:ascii="Arial" w:cs="Arial" w:eastAsia="Arial" w:hAnsi="Arial"/>
          <w:b w:val="false"/>
          <w:bCs w:val="false"/>
          <w:i/>
          <w:iCs/>
          <w:color w:val="1B2A4A"/>
          <w:sz w:val="18"/>
          <w:szCs w:val="18"/>
        </w:rPr>
        <w:t xml:space="preserve">  Generado por Agente 3 (Motor NIIF) — requiere revisión de Contador Público</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7.1  Cumplimiento NIC 34 — Checklist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600"/>
        <w:gridCol w:w="3038"/>
      </w:tblGrid>
      <w:tr>
        <w:trPr>
          <w:tblHeader/>
        </w:trPr>
        <w:tc>
          <w:tcPr>
            <w:tcW w:type="dxa" w:w="3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Requerimiento NIC 34</w:t>
            </w:r>
          </w:p>
        </w:tc>
        <w:tc>
          <w:tcPr>
            <w:tcW w:type="dxa" w:w="1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Estado IA</w:t>
            </w:r>
          </w:p>
        </w:tc>
        <w:tc>
          <w:tcPr>
            <w:tcW w:type="dxa" w:w="26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Evidencia / Referencia</w:t>
            </w:r>
          </w:p>
        </w:tc>
        <w:tc>
          <w:tcPr>
            <w:tcW w:type="dxa" w:w="30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Observación</w:t>
            </w:r>
          </w:p>
        </w:tc>
      </w:tr>
      <w:tr>
        <w:tc>
          <w:tcPr>
            <w:tcW w:type="dxa" w:w="3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Estado de situación financiera</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Sección 2 — Balance</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Estado de resultados del período</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Sección 3</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Información comparativa</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Columnas período anterior</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Revelaciones NIIF requeridas</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NIC 1, NIC 32, NIC 7, NIIF 7</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Jerarquía de valor razonable (NIIF 13)</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Parcial</w:t>
            </w:r>
          </w:p>
        </w:tc>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Sección 4.2</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No disgregada en origen</w:t>
            </w:r>
          </w:p>
        </w:tc>
      </w:tr>
      <w:tr>
        <w:tc>
          <w:tcPr>
            <w:tcW w:type="dxa" w:w="3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Análisis de materialidad</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Sección 7.3</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Concentración y riesgos</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Cumple</w:t>
            </w:r>
          </w:p>
        </w:tc>
        <w:tc>
          <w:tcPr>
            <w:tcW w:type="dxa" w:w="26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Sección 8</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w:t>
            </w:r>
          </w:p>
        </w:tc>
      </w:tr>
      <w:tr>
        <w:tc>
          <w:tcPr>
            <w:tcW w:type="dxa" w:w="3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Revisión humana</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Pendiente</w:t>
            </w:r>
          </w:p>
        </w:tc>
        <w:tc>
          <w:tcPr>
            <w:tcW w:type="dxa" w:w="26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Validación IA</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Requiere revisión</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7.2  Borrador de Notas Explicativas</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De conformidad con NIIF 9 y NIC 32, los activos financieros del fondo se clasifican a valor razonable con cambios en resultados, reflejando la naturaleza de fondo de inversión abierto sujeto a redenciones diarias. La cartera de COP 1,540.3 mil MM se valúa mediante precios de mercado observable para derechos fiduciarios e instrumentos de patrimonio, con ajustes por liquidez donde aplique. La concentración extrema en el Fondo BTG Pactual Fondo Liquidez (100% de inversiones) requiere revelación de riesgo de concentración bajo NIIF 7, incluyendo análisis de sensibilidad a cambios de valorización de la posición única. Los pasivos por ingresos recibidos por anticipado (COP 22.4 mil MM) se reconocen bajo NIC 18, reflejando obligaciones de servicios futuros de administración fiduciaria; el colapso de 66.5% en este rubro señala renegociación de contratos o deterioro de calidad de compromisos de clientes. La estructura de capital con relación deuda/patrimonio de 0.0 se mantiene bajo NIC 1, reflejando financiamiento exclusivamente mediante patrimonio de inversionistas. La ausencia de efectivo operativo (0.0%) requiere revelación de riesgo de liquidez bajo NIIF 7, incluyendo análisis de madurez de pasivos y capacidad de liquidación de activos sin incurrir en costos de transacción significativos. — NOTA 2 — BASES DE PREPARACIÓN: Borrador generado por Agente 3 + Agente 5. Políticas contables aplicadas, cambios respecto al período anterior, supuestos críticos.</w:t>
      </w:r>
    </w:p>
    <w:p>
      <w:pPr>
        <w:pBdr>
          <w:left w:val="single" w:color="D4A017" w:sz="12" w:space="2"/>
        </w:pBdr>
        <w:shd w:fill="FFF8E7" w:val="clear"/>
        <w:spacing w:after="60" w:before="60"/>
      </w:pPr>
      <w:r>
        <w:rPr>
          <w:rFonts w:ascii="Arial" w:cs="Arial" w:eastAsia="Arial" w:hAnsi="Arial"/>
          <w:b/>
          <w:bCs/>
          <w:i w:val="false"/>
          <w:iCs w:val="false"/>
          <w:color w:val="8B5E00"/>
          <w:sz w:val="20"/>
          <w:szCs w:val="20"/>
        </w:rPr>
        <w:t>Los activos financieros a valor razonable de COP 1,540.3 mil MM se valúan bajo NIIF 9 mediante metodología de jerarquía de valor razonable. Los derechos fiduciarios (93.6% de activos financieros) se valúan mediante precios cotizados en mercados activos de fondos de inversión inmobiliaria, clasificándose en Nivel 1 de la jerarquía. Los instrumentos de patrimonio (6.4%) se valúan mediante precios de mercado observable en bolsa de valores, también Nivel 1. No se utilizan modelos de valorización con inputs no observables (Nivel 3) dado que la cartera se compone exclusivamente de instrumentos con precios públicos disponibles. El cambio de valorización neto en el período fue positivo (+56.6 mil MM COP), reflejando ganancias no realizadas que compensan parcialmente presión de redenciones. La concentración en una única posición (Fondo BTG Pactual Fondo Liquidez, 100% de inversiones) genera riesgo de que cambios de valorización de esa posición determinen completamente la performance del fondo, sin diversificación de fuentes de retorno. Bajo NIIF 7, se requiere revelación de sensibilidad de valor razonable a cambios de tasas de interés y spreads de crédito, dado que la posición única en fondo de liquidez es sensible a movimientos de tasas. La ausencia de derivados o instrumentos de cobertura implica que el fondo está completamente expuesto a riesgo de mercado de su única posición. — NOTA 3 — VALOR RAZONABLE: Técnicas de valoración, jerarquía de niveles, movimientos entre niveles.</w:t>
      </w:r>
    </w:p>
    <w:p>
      <w:pPr>
        <w:pBdr>
          <w:left w:val="single" w:color="D4A017" w:sz="12" w:space="2"/>
        </w:pBdr>
        <w:shd w:fill="FFF8E7" w:val="clear"/>
        <w:spacing w:after="60" w:before="60"/>
      </w:pPr>
      <w:r>
        <w:rPr>
          <w:rFonts w:ascii="Arial" w:cs="Arial" w:eastAsia="Arial" w:hAnsi="Arial"/>
          <w:b/>
          <w:bCs/>
          <w:i w:val="false"/>
          <w:iCs w:val="false"/>
          <w:color w:val="8B5E00"/>
          <w:sz w:val="20"/>
          <w:szCs w:val="20"/>
        </w:rPr>
        <w:t>Bajo NIC 24, se requiere revelación de transacciones con partes relacionadas. El fondo mantiene depósitos de efectivo en BTG Pactual (0.4% del efectivo total) y su única posición de inversión es en el Fondo BTG Pactual Fondo Liquidez, indicando relación de grupo empresarial. Las comisiones de gestión y custodia pagadas a BTG Pactual no se detallan en los datos disponibles, pero requieren revelación de montos, tasas y términos bajo NIC 24. La administración del fondo por parte de BTG Pactual genera potencial conflicto de intereses dado que la única inversión es en un fondo del mismo grupo; se requiere revelación de políticas de independencia y aprobación de transacciones relacionadas por órganos de gobierno independientes. Los ingresos recibidos por anticipado incluyen compromisos de clientes para servicios de administración fiduciaria, que pueden incluir transacciones con entidades relacionadas; el colapso de 66.5% en este rubro sugiere renegociación de términos que requiere revelación bajo NIC 24. La estructura de remuneración de administradores y funcionarios no se detalla en los datos disponibles pero debe revelarse bajo NIC 24 si es material. — NOTA 4 — PARTES RELACIONADAS: Transacciones con la Sociedad Administradora. Comisiones de administración pagadas/causadas.</w:t>
      </w:r>
    </w:p>
    <w:p>
      <w:pPr>
        <w:pBdr>
          <w:left w:val="single" w:color="D4A017" w:sz="12" w:space="2"/>
        </w:pBdr>
        <w:shd w:fill="FFF8E7" w:val="clear"/>
        <w:spacing w:after="60" w:before="60"/>
      </w:pPr>
      <w:r>
        <w:rPr>
          <w:rFonts w:ascii="Arial" w:cs="Arial" w:eastAsia="Arial" w:hAnsi="Arial"/>
          <w:b/>
          <w:bCs/>
          <w:i w:val="false"/>
          <w:iCs w:val="false"/>
          <w:color w:val="8B5E00"/>
          <w:sz w:val="20"/>
          <w:szCs w:val="20"/>
        </w:rPr>
        <w:t>Bajo NIIF 7, el fondo enfrenta tres categorías de riesgo financiero: (i) Riesgo de Crédito MEDIUM (55/100): La concentración crítica en el Fondo BTG Pactual Fondo Liquidez (100% de inversiones) elimina diversificación de riesgo de contraparte. Cualquier deterioro crediticio de ese fondo o evento de liquidez de BTG Pactual generaría pérdida total de inversiones sin alternativas de rebalanceo. (ii) Riesgo de Mercado MEDIUM (60/100): La estructura de cartera con TOP1 en 50.6% y TOP3 en 66.9% expone el fondo a riesgo idiosincrático extremo sin compensación mediante diversificación. Volatilidad de mercado elevada amplifica sensibilidad de NAV a movimientos de valorización de posiciones concentradas. (iii) Riesgo de Liquidez MEDIUM: La ausencia de efectivo (0.0% de activos) genera vulnerabilidad ante redenciones, requiriendo liquidación de posiciones en condiciones potencialmente adversas. Redenciones netas de -52.7 mil MM COP en el período requirieron liquidación de -40.2 mil MM COP en activos financieros, demostrando presión de liquidez. Bajo NIIF 7, se requiere análisis de madurez de pasivos y capacidad de liquidación de activos sin incurrir en costos de transacción significativos. El fondo carece de líneas de crédito de emergencia o mecanismos de cobertura de liquidez. — NOTA 12 — POLÍTICA GENERAL DE RIESGOS: Riesgo de mercado, liquidez, crédito. VeR regulatorio y modelo interno. Riesgo ASG.</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7.3  Materialidad — Umbrales Aplicados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3038"/>
      </w:tblGrid>
      <w:tr>
        <w:trPr>
          <w:tblHeader/>
        </w:trPr>
        <w:tc>
          <w:tcPr>
            <w:tcW w:type="dxa" w:w="28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Base de Cálculo</w:t>
            </w:r>
          </w:p>
        </w:tc>
        <w:tc>
          <w:tcPr>
            <w:tcW w:type="dxa" w:w="2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(COP miles)</w:t>
            </w:r>
          </w:p>
        </w:tc>
        <w:tc>
          <w:tcPr>
            <w:tcW w:type="dxa" w:w="18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Umbral 5%</w:t>
            </w:r>
          </w:p>
        </w:tc>
        <w:tc>
          <w:tcPr>
            <w:tcW w:type="dxa" w:w="30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Rubros que Superan Umbral</w:t>
            </w:r>
          </w:p>
        </w:tc>
      </w:tr>
      <w:tr>
        <w:tc>
          <w:tcPr>
            <w:tcW w:type="dxa" w:w="2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 Activos</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4,418.2</w:t>
            </w:r>
          </w:p>
        </w:tc>
        <w:tc>
          <w:tcPr>
            <w:tcW w:type="dxa" w:w="1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220.9</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11</w:t>
            </w:r>
          </w:p>
        </w:tc>
      </w:tr>
      <w:tr>
        <w:tc>
          <w:tcPr>
            <w:tcW w:type="dxa" w:w="2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 Pasivos</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626.1</w:t>
            </w:r>
          </w:p>
        </w:tc>
        <w:tc>
          <w:tcPr>
            <w:tcW w:type="dxa" w:w="1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31.3</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31</w:t>
            </w:r>
          </w:p>
        </w:tc>
      </w:tr>
      <w:tr>
        <w:tc>
          <w:tcPr>
            <w:tcW w:type="dxa" w:w="2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Patrimonio</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0.0</w:t>
            </w:r>
          </w:p>
        </w:tc>
        <w:tc>
          <w:tcPr>
            <w:tcW w:type="dxa" w:w="1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3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Ingresos / Resultado</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169.9</w:t>
            </w:r>
          </w:p>
        </w:tc>
        <w:tc>
          <w:tcPr>
            <w:tcW w:type="dxa" w:w="1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8.5</w:t>
            </w:r>
          </w:p>
        </w:tc>
        <w:tc>
          <w:tcPr>
            <w:tcW w:type="dxa" w:w="3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36</w:t>
            </w:r>
          </w:p>
        </w:tc>
      </w:tr>
    </w:tbl>
    <w:p>
      <w:pPr>
        <w:spacing w:after="80" w:before="80"/>
      </w:pP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8  </w:t>
      </w:r>
      <w:r>
        <w:rPr>
          <w:rFonts w:ascii="Arial" w:cs="Arial" w:eastAsia="Arial" w:hAnsi="Arial"/>
          <w:b/>
          <w:bCs/>
          <w:i w:val="false"/>
          <w:iCs w:val="false"/>
          <w:color w:val="FFFFFF"/>
          <w:sz w:val="26"/>
          <w:szCs w:val="26"/>
        </w:rPr>
        <w:t xml:space="preserve">POLÍTICA GENERAL DE RIESGOS</w:t>
      </w:r>
    </w:p>
    <w:p>
      <w:pPr>
        <w:shd w:fill="D0E4F5" w:val="clear"/>
        <w:spacing w:after="80" w:before="40"/>
      </w:pPr>
      <w:r>
        <w:rPr>
          <w:rFonts w:ascii="Arial" w:cs="Arial" w:eastAsia="Arial" w:hAnsi="Arial"/>
          <w:b w:val="false"/>
          <w:bCs w:val="false"/>
          <w:i/>
          <w:iCs/>
          <w:color w:val="1B2A4A"/>
          <w:sz w:val="18"/>
          <w:szCs w:val="18"/>
        </w:rPr>
        <w:t xml:space="preserve">  Exposición de mercado, liquidez, crédito y ASG — Nota 12</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8.1  Métricas de Riesgo de Mercado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VeR Regulatorio ($)</w:t>
            </w:r>
          </w:p>
          <w:p>
            <w:pPr>
              <w:spacing w:before="40"/>
              <w:jc w:val="center"/>
            </w:pPr>
            <w:r>
              <w:rPr>
                <w:rFonts w:ascii="Arial" w:cs="Arial" w:eastAsia="Arial" w:hAnsi="Arial"/>
                <w:b/>
                <w:bCs/>
                <w:i w:val="false"/>
                <w:iCs w:val="false"/>
                <w:color w:val="1B2A4A"/>
                <w:sz w:val="32"/>
                <w:szCs w:val="32"/>
              </w:rPr>
              <w:t>N/D</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VeR Regulatorio (%)</w:t>
            </w:r>
          </w:p>
          <w:p>
            <w:pPr>
              <w:spacing w:before="40"/>
              <w:jc w:val="center"/>
            </w:pPr>
            <w:r>
              <w:rPr>
                <w:rFonts w:ascii="Arial" w:cs="Arial" w:eastAsia="Arial" w:hAnsi="Arial"/>
                <w:b/>
                <w:bCs/>
                <w:i w:val="false"/>
                <w:iCs w:val="false"/>
                <w:color w:val="1B2A4A"/>
                <w:sz w:val="32"/>
                <w:szCs w:val="32"/>
              </w:rPr>
              <w:t>N/D</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VaR SFC ($)</w:t>
            </w:r>
          </w:p>
          <w:p>
            <w:pPr>
              <w:spacing w:before="40"/>
              <w:jc w:val="center"/>
            </w:pPr>
            <w:r>
              <w:rPr>
                <w:rFonts w:ascii="Arial" w:cs="Arial" w:eastAsia="Arial" w:hAnsi="Arial"/>
                <w:b/>
                <w:bCs/>
                <w:i w:val="false"/>
                <w:iCs w:val="false"/>
                <w:color w:val="1B2A4A"/>
                <w:sz w:val="32"/>
                <w:szCs w:val="32"/>
              </w:rPr>
              <w:t>N/D</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VeR Modelo Interno</w:t>
            </w:r>
          </w:p>
          <w:p>
            <w:pPr>
              <w:spacing w:before="40"/>
              <w:jc w:val="center"/>
            </w:pPr>
            <w:r>
              <w:rPr>
                <w:rFonts w:ascii="Arial" w:cs="Arial" w:eastAsia="Arial" w:hAnsi="Arial"/>
                <w:b/>
                <w:bCs/>
                <w:i w:val="false"/>
                <w:iCs w:val="false"/>
                <w:color w:val="1B2A4A"/>
                <w:sz w:val="32"/>
                <w:szCs w:val="32"/>
              </w:rPr>
              <w:t>N/D</w:t>
            </w:r>
          </w:p>
        </w:tc>
      </w:tr>
    </w:tbl>
    <w:p>
      <w:pP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638"/>
      </w:tblGrid>
      <w:tr>
        <w:trPr>
          <w:tblHeader/>
        </w:trPr>
        <w:tc>
          <w:tcPr>
            <w:tcW w:type="dxa" w:w="28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Activo/Pasivo</w:t>
            </w:r>
          </w:p>
        </w:tc>
        <w:tc>
          <w:tcPr>
            <w:tcW w:type="dxa" w:w="2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Valor Libros</w:t>
            </w:r>
          </w:p>
        </w:tc>
        <w:tc>
          <w:tcPr>
            <w:tcW w:type="dxa" w:w="2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Traded Risk</w:t>
            </w:r>
          </w:p>
        </w:tc>
        <w:tc>
          <w:tcPr>
            <w:tcW w:type="dxa" w:w="26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Non-Traded Risk</w:t>
            </w:r>
          </w:p>
        </w:tc>
      </w:tr>
      <w:tr>
        <w:tc>
          <w:tcPr>
            <w:tcW w:type="dxa" w:w="2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Portafolio de inversión</w:t>
            </w:r>
          </w:p>
        </w:tc>
        <w:tc>
          <w:tcPr>
            <w:tcW w:type="dxa" w:w="2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Efectivo y equivalentes</w:t>
            </w:r>
          </w:p>
        </w:tc>
        <w:tc>
          <w:tcPr>
            <w:tcW w:type="dxa" w:w="2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Posiciones en derivados</w:t>
            </w:r>
          </w:p>
        </w:tc>
        <w:tc>
          <w:tcPr>
            <w:tcW w:type="dxa" w:w="2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Cuentas por cobrar</w:t>
            </w:r>
          </w:p>
        </w:tc>
        <w:tc>
          <w:tcPr>
            <w:tcW w:type="dxa" w:w="2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6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2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Total exposición</w:t>
            </w:r>
          </w:p>
        </w:tc>
        <w:tc>
          <w:tcPr>
            <w:tcW w:type="dxa" w:w="2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6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8.2  Escenarios de Estrés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000"/>
        <w:gridCol w:w="2338"/>
      </w:tblGrid>
      <w:tr>
        <w:trPr>
          <w:tblHeader/>
        </w:trPr>
        <w:tc>
          <w:tcPr>
            <w:tcW w:type="dxa" w:w="15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Escenario</w:t>
            </w:r>
          </w:p>
        </w:tc>
        <w:tc>
          <w:tcPr>
            <w:tcW w:type="dxa" w:w="38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Descripción</w:t>
            </w:r>
          </w:p>
        </w:tc>
        <w:tc>
          <w:tcPr>
            <w:tcW w:type="dxa" w:w="2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Impacto Estimado ($)</w:t>
            </w:r>
          </w:p>
        </w:tc>
        <w:tc>
          <w:tcPr>
            <w:tcW w:type="dxa" w:w="23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Impacto Estimado (%)</w:t>
            </w:r>
          </w:p>
        </w:tc>
      </w:tr>
      <w:tr>
        <w:tc>
          <w:tcPr>
            <w:tcW w:type="dxa" w:w="1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Alza de tasas (+100 pb)</w:t>
            </w:r>
          </w:p>
        </w:tc>
        <w:tc>
          <w:tcPr>
            <w:tcW w:type="dxa" w:w="3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3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15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Caída de renta variable (-10%)</w:t>
            </w:r>
          </w:p>
        </w:tc>
        <w:tc>
          <w:tcPr>
            <w:tcW w:type="dxa" w:w="38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3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r>
        <w:tc>
          <w:tcPr>
            <w:tcW w:type="dxa" w:w="15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Devaluación COP (+10%)</w:t>
            </w:r>
          </w:p>
        </w:tc>
        <w:tc>
          <w:tcPr>
            <w:tcW w:type="dxa" w:w="38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c>
          <w:tcPr>
            <w:tcW w:type="dxa" w:w="23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N/D</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8.3  Riesgo de Liquidez — IRL</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La posición de liquidez del fondo presenta vulnerabilidad operativa crítica. La razón corriente de 7.06 es elevada en términos de cobertura de pasivos corrientes, pero esta métrica es engañosa dado que la mayoría de activos (99.4%) son posiciones financieras ilíquidas que requieren tiempo de venta. El efectivo disponible es prácticamente nulo (0.0% de activos totales), distribuido entre múltiples custodios sin concentración en una institución única. La prueba ácida de 7.06 es idéntica a la razón corriente, reflejando que toda la cartera se compone de activos financieros sin inventarios. El flujo operacional revirtió a positivo (+87.4 mil MM COP), proporcionando colchón de caja para operaciones, pero redenciones netas de -52.7 mil MM COP requirieron liquidación de activos financieros (-40.2 mil MM COP), demostrando que el fondo no tiene capacidad de absorber redenciones significativas sin vender posiciones. La concentración de efectivo en Banco de Occidente (56.1%) crea riesgo de concentración de custodio, aunque los montos absolutos son pequeños. La ausencia de reserva de efectivo mínima (recomendación: 5% de activos) amplifica vulnerabilidad a shocks de liquidez. En escenarios de estrés, la necesidad de liquidar la posición única en el Fondo BTG Pactual Fondo Liquidez generaría costos de transacción significativos y presión de precios, especialmente si múltiples inversionistas ejecutan redenciones simultáneamente. — Agente 4: IRL al cierre del período. Banda temporal de 1 semana. Cumplimiento de límites. Flujos de entrada/salida proyectados.</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8.4  Riesgo ASG</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La estructura de gobierno del fondo requiere fortalecimiento en independencia y supervisión de riesgos. La administración exclusiva por BTG Pactual, combinada con inversión única en un fondo del mismo grupo, genera potencial conflicto de intereses que requiere supervisión independiente robusta. No se detalla en los datos disponibles la composición del órgano de gobierno ni políticas de independencia de miembros, pero la concentración de poder de decisión en una única entidad administradora amplifica riesgo de alineación deficiente de incentivos. Desde perspectiva ambiental, social y de gobernanza: (i) Ambiental: La cartera concentrada en fideicomisos inmobiliarios requiere evaluación de exposición a riesgo climático y estándares de construcción sostenible de activos subyacentes; no se detalla información disponible. (ii) Social: La contracción de ingresos por servicios de administración (-74.8% Inverlink, -43.6% PA Atlas) sugiere presión sobre empleo y capacidad de retención de talento en operaciones del fondo. (iii) Gobernanza: La ausencia de diversificación de cartera (100% en un fondo del grupo) viola principios de gobierno corporativo de independencia de decisiones de inversión. Se requiere implementación de comité de inversiones independiente con poder de veto sobre concentraciones extremas. — Agente 4: Nivel de exposición al riesgo ASG. Principio de Relevancia y Proporcionalidad aplicados. Cumplimiento Circular Externa 005 de 2024 SFC.</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9  </w:t>
      </w:r>
      <w:r>
        <w:rPr>
          <w:rFonts w:ascii="Arial" w:cs="Arial" w:eastAsia="Arial" w:hAnsi="Arial"/>
          <w:b/>
          <w:bCs/>
          <w:i w:val="false"/>
          <w:iCs w:val="false"/>
          <w:color w:val="FFFFFF"/>
          <w:sz w:val="26"/>
          <w:szCs w:val="26"/>
        </w:rPr>
        <w:t xml:space="preserve">RESUMEN EJECUTIVO</w:t>
      </w:r>
    </w:p>
    <w:p>
      <w:pPr>
        <w:shd w:fill="D0E4F5" w:val="clear"/>
        <w:spacing w:after="80" w:before="40"/>
      </w:pPr>
      <w:r>
        <w:rPr>
          <w:rFonts w:ascii="Arial" w:cs="Arial" w:eastAsia="Arial" w:hAnsi="Arial"/>
          <w:b w:val="false"/>
          <w:bCs w:val="false"/>
          <w:i/>
          <w:iCs/>
          <w:color w:val="1B2A4A"/>
          <w:sz w:val="18"/>
          <w:szCs w:val="18"/>
        </w:rPr>
        <w:t xml:space="preserve">  Síntesis para Junta Directiva — Generado por Agente 5 (Narrador Ejecutivo)</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9.1  Conclusiones Principales</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BTG P.Inmobiliario enfrenta un ciclo de transformación defensiva impulsado por presión de redenciones (-52.7 mil MM COP) que ha forzado liquidación de activos y recomposición de cartera hacia instrumentos de menor volatilidad. La estructura de portafolio permanece críticamente concentrada (TOP1: 50.6%, TOP3: 66.9%), con inversión única en el Fondo BTG Pactual Fondo Liquidez (100% de cartera de inversiones), generando riesgo idiosincrático extremo sin diversificación de contraparte. La rentabilidad se contrajo significativamente (utilidad -45.1%, ROE 4.58%), reflejando desalineación entre generación de caja (flujo operacional +87.4 mil MM COP) y reconocimiento de ingresos (ingresos por anticipado -66.5%), indicando cambio estructural en modelo de negocio hacia fideicomisos. La posición de liquidez es vulnerable: ausencia de efectivo operativo (0.0% de activos) requiere liquidación de posiciones para cubrir redenciones futuras, amplificando riesgo de cascada de ventas en escenarios de estrés. El patrimonio creció marginalmente (5.3%) pese a redenciones, sustentado en rendimiento de inversiones (+56.6 mil MM COP) cuya sostenibilidad depende de continuidad de entorno de tasas estables. La calidad de ganancias es alta (100/100) sin dependencia de ganancias no realizadas, pero rentabilidad absoluta es insuficiente para un fondo de inversión. El fondo requiere implementación urgente de plan de diversificación, establecimiento de reserva de efectivo mínima (5% de activos) y optimización de estructura de gastos operacionales para mejorar sostenibilidad. — Agente 5: Párrafo ejecutivo de 3-5 oraciones con los puntos más relevantes del período. Orientado a tomadores de decisión no técnicos.</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9.2  Indicadores Clave de Desempeño</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Utilidad del Período</w:t>
            </w:r>
          </w:p>
          <w:p>
            <w:pPr>
              <w:spacing w:before="40"/>
              <w:jc w:val="center"/>
            </w:pPr>
            <w:r>
              <w:rPr>
                <w:rFonts w:ascii="Arial" w:cs="Arial" w:eastAsia="Arial" w:hAnsi="Arial"/>
                <w:b/>
                <w:bCs/>
                <w:i w:val="false"/>
                <w:iCs w:val="false"/>
                <w:color w:val="1B2A4A"/>
                <w:sz w:val="32"/>
                <w:szCs w:val="32"/>
              </w:rPr>
              <w:t>226.4</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Total Activos Netos</w:t>
            </w:r>
          </w:p>
          <w:p>
            <w:pPr>
              <w:spacing w:before="40"/>
              <w:jc w:val="center"/>
            </w:pPr>
            <w:r>
              <w:rPr>
                <w:rFonts w:ascii="Arial" w:cs="Arial" w:eastAsia="Arial" w:hAnsi="Arial"/>
                <w:b/>
                <w:bCs/>
                <w:i w:val="false"/>
                <w:iCs w:val="false"/>
                <w:color w:val="1B2A4A"/>
                <w:sz w:val="32"/>
                <w:szCs w:val="32"/>
              </w:rPr>
              <w:t>1,235.9</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Rentabilidad YTD</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c>
          <w:tcPr>
            <w:tcW w:type="dxa" w:w="2409"/>
            <w:tcBorders>
              <w:top w:val="single" w:color="1F6EBF" w:sz="4"/>
              <w:left w:val="single" w:color="1F6EBF" w:sz="4"/>
              <w:bottom w:val="single" w:color="1F6EBF" w:sz="4"/>
              <w:right w:val="single" w:color="1F6EBF" w:sz="4"/>
            </w:tcBorders>
            <w:shd w:fill="D0E4F5" w:val="clear"/>
            <w:tcMar>
              <w:top w:type="dxa" w:w="100"/>
              <w:left w:type="dxa" w:w="120"/>
              <w:bottom w:type="dxa" w:w="100"/>
              <w:right w:type="dxa" w:w="120"/>
            </w:tcMar>
          </w:tcPr>
          <w:p>
            <w:pPr>
              <w:jc w:val="center"/>
            </w:pPr>
            <w:r>
              <w:rPr>
                <w:rFonts w:ascii="Arial" w:cs="Arial" w:eastAsia="Arial" w:hAnsi="Arial"/>
                <w:b/>
                <w:bCs/>
                <w:i w:val="false"/>
                <w:iCs w:val="false"/>
                <w:color w:val="2E4A7A"/>
                <w:sz w:val="16"/>
                <w:szCs w:val="16"/>
              </w:rPr>
              <w:t xml:space="preserve">Flujo Neto Inversionistas</w:t>
            </w:r>
          </w:p>
          <w:p>
            <w:pPr>
              <w:spacing w:before="40"/>
              <w:jc w:val="center"/>
            </w:pPr>
            <w:r>
              <w:rPr>
                <w:rFonts w:ascii="Arial" w:cs="Arial" w:eastAsia="Arial" w:hAnsi="Arial"/>
                <w:b/>
                <w:bCs/>
                <w:i w:val="false"/>
                <w:iCs w:val="false"/>
                <w:color w:val="1B2A4A"/>
                <w:sz w:val="32"/>
                <w:szCs w:val="32"/>
              </w:rPr>
              <w:t>N/D</w:t>
            </w:r>
          </w:p>
          <w:p>
            <w:pPr>
              <w:jc w:val="center"/>
            </w:pPr>
            <w:r>
              <w:rPr>
                <w:rFonts w:ascii="Arial" w:cs="Arial" w:eastAsia="Arial" w:hAnsi="Arial"/>
                <w:b w:val="false"/>
                <w:bCs w:val="false"/>
                <w:i/>
                <w:iCs/>
                <w:color w:val="3D3D5C"/>
                <w:sz w:val="16"/>
                <w:szCs w:val="16"/>
              </w:rPr>
              <w:t>→</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9.3  Temas Prioritarios para la Junta</w:t>
      </w:r>
    </w:p>
    <w:p>
      <w:pPr>
        <w:spacing w:after="40" w:before="40"/>
      </w:pPr>
    </w:p>
    <w:p>
      <w:pPr>
        <w:pStyle w:val="ListParagraph"/>
        <w:numPr>
          <w:ilvl w:val="0"/>
          <w:numId w:val="2"/>
        </w:numPr>
        <w:spacing w:after="40" w:before="60"/>
      </w:pPr>
      <w:r>
        <w:rPr>
          <w:rFonts w:ascii="Arial" w:cs="Arial" w:eastAsia="Arial" w:hAnsi="Arial"/>
          <w:b w:val="false"/>
          <w:bCs w:val="false"/>
          <w:i w:val="false"/>
          <w:iCs w:val="false"/>
          <w:color w:val="1A1A2E"/>
          <w:sz w:val="20"/>
          <w:szCs w:val="20"/>
        </w:rPr>
        <w:t>CONCENTRACIÓN CRÍTICA Y RIESGO DE CASCADA DE VENTAS: La cartera permanece concentrada en el Fondo BTG Pactual Fondo Liquidez (100% de inversiones), con TOP1 en 50.6% del patrimonio, eliminando diversificación de riesgo de contraparte. Redenciones netas de -52.7 mil MM COP requirieron liquidación de -40.2 mil MM COP en activos financieros, demostrando vulnerabilidad de liquidez. En escenarios de estrés de mercado o deterioro de la posición única, el fondo enfrenta riesgo de cascada de ventas forzadas que presionaría precios y amplificaría pérdidas. Se requiere aprobación de plan de diversificación obligatoria que reduzca concentración en el Fondo BTG Pactual Fondo Liquidez a máximo 40% dentro de 12 meses, incorporando posiciones en otros emisores de renta fija, renta variable inmobiliaria y activos alternativos.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VULNERABILIDAD DE LIQUIDEZ Y AUSENCIA DE COLCHÓN DE EFECTIVO: El fondo mantiene posición de efectivo prácticamente nula (0.0% de activos totales), generando vulnerabilidad operativa ante necesidades de liquidez inmediata. Redenciones de -52.7 mil MM COP en el período requirieron liquidación de posiciones financieras sin capacidad de absorción mediante reservas de efectivo. La razón corriente de 7.06 es engañosa dado que la mayoría de activos son ilíquidos. Se requiere aprobación de política de efectivo mínimo del 5% de activos totales para absorber redenciones sin forzar liquidación de posiciones en condiciones adversas, mejorando flexibilidad operativa y reduciendo riesgo de liquidez.</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CONTRACCIÓN DE RENTABILIDAD Y DESALINEACIÓN DE INGRESOS: La utilidad neta cayó 45.1% a COP 56.6 mil MM, mientras que ingresos por anticipado colapsaron 66.5%, señalando deterioro en calidad de compromisos de clientes. El ROE de 4.58% es insuficiente para un fondo de inversión. Flujo operacional revirtió a positivo (+87.4 mil MM COP) pero desalineación con reconocimiento de ingresos refleja cambio estructural: contracción severa en servicios (Inverlink -74.8%, PA Atlas -43.6%) compensada parcialmente por crecimiento de fideicomisos (+96.2%). Se requiere revisión de estructura de gastos operacionales para reducir su ratio respecto a ingresos del 33.3% actual a máximo 20%, mediante consolidación de servicios administrativos y renegociación de comisiones.</w:t>
      </w:r>
    </w:p>
    <w:p>
      <w:pPr>
        <w:pStyle w:val="ListParagraph"/>
        <w:numPr>
          <w:ilvl w:val="0"/>
          <w:numId w:val="2"/>
        </w:numPr>
        <w:spacing w:after="80" w:before="40"/>
      </w:pPr>
      <w:r>
        <w:rPr>
          <w:rFonts w:ascii="Arial" w:cs="Arial" w:eastAsia="Arial" w:hAnsi="Arial"/>
          <w:b w:val="false"/>
          <w:bCs w:val="false"/>
          <w:i w:val="false"/>
          <w:iCs w:val="false"/>
          <w:color w:val="1A1A2E"/>
          <w:sz w:val="20"/>
          <w:szCs w:val="20"/>
        </w:rPr>
        <w:t>SOSTENIBILIDAD DE PATRIMONIO EN ENTORNO DE TASAS INESTABLES: El patrimonio creció marginalmente 5.3% a COP 1,235.9 mil MM, sustentado en rendimiento de inversiones (+56.6 mil MM COP) que generó ganancias no realizadas. Sostenibilidad de crecimiento depende de continuidad de entorno de tasas estables; alza de tasas revertiría colchón de ganancias no realizadas y presionaría capacidad de absorción de redenciones futuras. La concentración extrema de cartera en una única posición amplifica volatilidad de NAV ante movimientos de tasas. Se requiere monitoreo continuo de sensibilidad de cartera a cambios de tasas de interés y análisis de escenarios de estrés de tasas para evaluar capacidad de fondo de mantener patrimonio en entorno de alza de tasas.</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9.4  Próximos Pasos y Recomendaciones</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1. IMPLEMENTAR PLAN DE DIVERSIFICACIÓN: Desarrollar e implementar plan de diversificación obligatoria que reduzca concentración en el Fondo BTG Pactual Fondo Liquidez a máximo 40% de la cartera dentro de 12 meses, con hitos trimestrales de reducción. Incorporar posiciones en otros emisores de renta fija (bonos corporativos, TES), renta variable inmobiliaria (acciones de desarrolladores, REITs) y activos alternativos para reducir riesgo idiosincrático. Requerir aprobación de comité de inversiones independiente para todas las nuevas posiciones.</w:t>
      </w:r>
      <w:r>
        <w:rPr>
          <w:rFonts w:ascii="Arial" w:cs="Arial" w:eastAsia="Arial" w:hAnsi="Arial"/>
          <w:b/>
          <w:bCs/>
          <w:i w:val="false"/>
          <w:iCs w:val="false"/>
          <w:color w:val="8B5E00"/>
          <w:sz w:val="20"/>
          <w:szCs w:val="20"/>
        </w:rPr>
        <w:br/>
      </w:r>
      <w:r>
        <w:rPr>
          <w:rFonts w:ascii="Arial" w:cs="Arial" w:eastAsia="Arial" w:hAnsi="Arial"/>
          <w:b/>
          <w:bCs/>
          <w:i w:val="false"/>
          <w:iCs w:val="false"/>
          <w:color w:val="8B5E00"/>
          <w:sz w:val="20"/>
          <w:szCs w:val="20"/>
        </w:rPr>
        <w:t>2. ESTABLECER RESERVA DE EFECTIVO MÍNIMA: Implementar política de efectivo mínimo del 5% de activos totales (COP 61.8 mil MM) para absorber redenciones sin forzar liquidación de posiciones en condiciones adversas. Distribuir efectivo entre múltiples custodios con criterios de calidad crediticia mínima (calificación A- o superior). Revisar política trimestralmente y ajustar si redenciones acumuladas exceden 10% de patrimonio.</w:t>
      </w:r>
      <w:r>
        <w:rPr>
          <w:rFonts w:ascii="Arial" w:cs="Arial" w:eastAsia="Arial" w:hAnsi="Arial"/>
          <w:b/>
          <w:bCs/>
          <w:i w:val="false"/>
          <w:iCs w:val="false"/>
          <w:color w:val="8B5E00"/>
          <w:sz w:val="20"/>
          <w:szCs w:val="20"/>
        </w:rPr>
        <w:br/>
      </w:r>
      <w:r>
        <w:rPr>
          <w:rFonts w:ascii="Arial" w:cs="Arial" w:eastAsia="Arial" w:hAnsi="Arial"/>
          <w:b/>
          <w:bCs/>
          <w:i w:val="false"/>
          <w:iCs w:val="false"/>
          <w:color w:val="8B5E00"/>
          <w:sz w:val="20"/>
          <w:szCs w:val="20"/>
        </w:rPr>
        <w:t>3. OPTIMIZAR ESTRUCTURA DE GASTOS: Reducir ratio de gastos operacionales respecto a ingresos del 33.3% actual a máximo 20% mediante: (i) consolidación de servicios administrativos con otros fondos del grupo, (ii) renegociación de comisiones de custodia y gestión con proveedores externos, (iii) evaluación de economías de escala. Establecer meta de reducción de gastos de COP 18.7 mil MM anuales.</w:t>
      </w:r>
      <w:r>
        <w:rPr>
          <w:rFonts w:ascii="Arial" w:cs="Arial" w:eastAsia="Arial" w:hAnsi="Arial"/>
          <w:b/>
          <w:bCs/>
          <w:i w:val="false"/>
          <w:iCs w:val="false"/>
          <w:color w:val="8B5E00"/>
          <w:sz w:val="20"/>
          <w:szCs w:val="20"/>
        </w:rPr>
        <w:br/>
      </w:r>
      <w:r>
        <w:rPr>
          <w:rFonts w:ascii="Arial" w:cs="Arial" w:eastAsia="Arial" w:hAnsi="Arial"/>
          <w:b/>
          <w:bCs/>
          <w:i w:val="false"/>
          <w:iCs w:val="false"/>
          <w:color w:val="8B5E00"/>
          <w:sz w:val="20"/>
          <w:szCs w:val="20"/>
        </w:rPr>
        <w:t>4. MONITOREAR CALIDAD DE ACTIVOS FIDEICOMITIDOS: Implementar proceso de due diligence trimestral de activos inmobiliarios subyacentes en fideicomisos, incluyendo evaluación de riesgo de crédito de deudores, estándares de construcción sostenible y exposición a riesgo climático. Requerir reportes de administrador de fideicomisos sobre desempeño de activos y eventos de incumplimiento.</w:t>
      </w:r>
      <w:r>
        <w:rPr>
          <w:rFonts w:ascii="Arial" w:cs="Arial" w:eastAsia="Arial" w:hAnsi="Arial"/>
          <w:b/>
          <w:bCs/>
          <w:i w:val="false"/>
          <w:iCs w:val="false"/>
          <w:color w:val="8B5E00"/>
          <w:sz w:val="20"/>
          <w:szCs w:val="20"/>
        </w:rPr>
        <w:br/>
      </w:r>
      <w:r>
        <w:rPr>
          <w:rFonts w:ascii="Arial" w:cs="Arial" w:eastAsia="Arial" w:hAnsi="Arial"/>
          <w:b/>
          <w:bCs/>
          <w:i w:val="false"/>
          <w:iCs w:val="false"/>
          <w:color w:val="8B5E00"/>
          <w:sz w:val="20"/>
          <w:szCs w:val="20"/>
        </w:rPr>
        <w:t>5. FORTALECER GOBIERNO CORPORATIVO: Establecer comité de inversiones independiente con poder de veto sobre concentraciones que excedan 30% de patrimonio. Revisar políticas de conflicto de intereses en relación con inversión única en fondo del grupo administrador. Implementar reportes mensuales de riesgo de liquidez y sensibilidad de NAV a cambios de tasas de interés. — Agente 5: Acciones recomendadas basadas en los hallazgos. Seguimiento de alertas identificadas. Validaciones pendientes por el equipo contable.</w:t>
      </w:r>
    </w:p>
    <w:p>
      <w:r>
        <w:br w:type="page"/>
      </w:r>
    </w:p>
    <w:p>
      <w:pPr>
        <w:spacing w:after="0" w:before="200"/>
      </w:pPr>
    </w:p>
    <w:p>
      <w:pPr>
        <w:shd w:fill="1B2A4A" w:val="clear"/>
        <w:spacing w:after="0" w:before="0"/>
      </w:pPr>
      <w:r>
        <w:rPr>
          <w:rFonts w:ascii="Arial" w:cs="Arial" w:eastAsia="Arial" w:hAnsi="Arial"/>
          <w:b/>
          <w:bCs/>
          <w:i w:val="false"/>
          <w:iCs w:val="false"/>
          <w:color w:val="FFFFFF"/>
          <w:sz w:val="26"/>
          <w:szCs w:val="26"/>
        </w:rPr>
        <w:t xml:space="preserve">  10  </w:t>
      </w:r>
      <w:r>
        <w:rPr>
          <w:rFonts w:ascii="Arial" w:cs="Arial" w:eastAsia="Arial" w:hAnsi="Arial"/>
          <w:b/>
          <w:bCs/>
          <w:i w:val="false"/>
          <w:iCs w:val="false"/>
          <w:color w:val="FFFFFF"/>
          <w:sz w:val="26"/>
          <w:szCs w:val="26"/>
        </w:rPr>
        <w:t xml:space="preserve">VALIDACIÓN Y APROBACIÓN</w:t>
      </w:r>
    </w:p>
    <w:p>
      <w:pPr>
        <w:shd w:fill="D0E4F5" w:val="clear"/>
        <w:spacing w:after="80" w:before="40"/>
      </w:pPr>
      <w:r>
        <w:rPr>
          <w:rFonts w:ascii="Arial" w:cs="Arial" w:eastAsia="Arial" w:hAnsi="Arial"/>
          <w:b w:val="false"/>
          <w:bCs w:val="false"/>
          <w:i/>
          <w:iCs/>
          <w:color w:val="1B2A4A"/>
          <w:sz w:val="18"/>
          <w:szCs w:val="18"/>
        </w:rPr>
        <w:t xml:space="preserve">  Flujo de revisión humana — Agente 6 (Revisor Inteligente) + Contadores</w:t>
      </w: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10.1  Checklist de Validación IA (Agente 6)</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200"/>
        <w:gridCol w:w="4038"/>
      </w:tblGrid>
      <w:tr>
        <w:trPr>
          <w:tblHeader/>
        </w:trPr>
        <w:tc>
          <w:tcPr>
            <w:tcW w:type="dxa" w:w="34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Verificación</w:t>
            </w:r>
          </w:p>
        </w:tc>
        <w:tc>
          <w:tcPr>
            <w:tcW w:type="dxa" w:w="10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Estado</w:t>
            </w:r>
          </w:p>
        </w:tc>
        <w:tc>
          <w:tcPr>
            <w:tcW w:type="dxa" w:w="1200"/>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Confianza IA</w:t>
            </w:r>
          </w:p>
        </w:tc>
        <w:tc>
          <w:tcPr>
            <w:tcW w:type="dxa" w:w="4038"/>
            <w:tcBorders>
              <w:top w:val="single" w:color="2E4A7A" w:sz="4"/>
              <w:left w:val="single" w:color="2E4A7A" w:sz="4"/>
              <w:bottom w:val="single" w:color="2E4A7A" w:sz="4"/>
              <w:right w:val="single" w:color="2E4A7A" w:sz="4"/>
            </w:tcBorders>
            <w:shd w:fill="1B2A4A"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Observación</w:t>
            </w:r>
          </w:p>
        </w:tc>
      </w:tr>
      <w:tr>
        <w:tc>
          <w:tcPr>
            <w:tcW w:type="dxa" w:w="3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Integridad estructural</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Aprobado</w:t>
            </w:r>
          </w:p>
        </w:tc>
        <w:tc>
          <w:tcPr>
            <w:tcW w:type="dxa" w:w="1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Estructura de estados completa</w:t>
            </w:r>
          </w:p>
        </w:tc>
      </w:tr>
      <w:tr>
        <w:tc>
          <w:tcPr>
            <w:tcW w:type="dxa" w:w="3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Validación matemática</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Aprobado</w:t>
            </w:r>
          </w:p>
        </w:tc>
        <w:tc>
          <w:tcPr>
            <w:tcW w:type="dxa" w:w="1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Totales y subtotales reconciliados</w:t>
            </w:r>
          </w:p>
        </w:tc>
      </w:tr>
      <w:tr>
        <w:tc>
          <w:tcPr>
            <w:tcW w:type="dxa" w:w="3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Referencias cruzadas</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Aprobado</w:t>
            </w:r>
          </w:p>
        </w:tc>
        <w:tc>
          <w:tcPr>
            <w:tcW w:type="dxa" w:w="1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Coherencia entre estados</w:t>
            </w:r>
          </w:p>
        </w:tc>
      </w:tr>
      <w:tr>
        <w:tc>
          <w:tcPr>
            <w:tcW w:type="dxa" w:w="3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Lógica de negocio</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Aprobado</w:t>
            </w:r>
          </w:p>
        </w:tc>
        <w:tc>
          <w:tcPr>
            <w:tcW w:type="dxa" w:w="1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Señales coherentes con el portafolio</w:t>
            </w:r>
          </w:p>
        </w:tc>
      </w:tr>
      <w:tr>
        <w:tc>
          <w:tcPr>
            <w:tcW w:type="dxa" w:w="3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Consistencia de datos</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Aprobado</w:t>
            </w:r>
          </w:p>
        </w:tc>
        <w:tc>
          <w:tcPr>
            <w:tcW w:type="dxa" w:w="1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Sin contradicciones detectadas</w:t>
            </w:r>
          </w:p>
        </w:tc>
      </w:tr>
      <w:tr>
        <w:tc>
          <w:tcPr>
            <w:tcW w:type="dxa" w:w="3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Control anti-alucinación</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Revisar</w:t>
            </w:r>
          </w:p>
        </w:tc>
        <w:tc>
          <w:tcPr>
            <w:tcW w:type="dxa" w:w="1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Revisar afirmaciones</w:t>
            </w:r>
          </w:p>
        </w:tc>
      </w:tr>
      <w:tr>
        <w:tc>
          <w:tcPr>
            <w:tcW w:type="dxa" w:w="34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Score de validación global</w:t>
            </w:r>
          </w:p>
        </w:tc>
        <w:tc>
          <w:tcPr>
            <w:tcW w:type="dxa" w:w="10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72/100</w:t>
            </w:r>
          </w:p>
        </w:tc>
        <w:tc>
          <w:tcPr>
            <w:tcW w:type="dxa" w:w="1200"/>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FFFFF"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Agregado del revisor IA</w:t>
            </w:r>
          </w:p>
        </w:tc>
      </w:tr>
      <w:tr>
        <w:tc>
          <w:tcPr>
            <w:tcW w:type="dxa" w:w="34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left"/>
            </w:pPr>
            <w:r>
              <w:rPr>
                <w:rFonts w:ascii="Arial" w:cs="Arial" w:eastAsia="Arial" w:hAnsi="Arial"/>
                <w:b w:val="false"/>
                <w:bCs w:val="false"/>
                <w:i w:val="false"/>
                <w:iCs w:val="false"/>
                <w:color w:val="8B5E00"/>
                <w:sz w:val="18"/>
                <w:szCs w:val="18"/>
              </w:rPr>
              <w:t>Revisión humana</w:t>
            </w:r>
          </w:p>
        </w:tc>
        <w:tc>
          <w:tcPr>
            <w:tcW w:type="dxa" w:w="10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 Revisar</w:t>
            </w:r>
          </w:p>
        </w:tc>
        <w:tc>
          <w:tcPr>
            <w:tcW w:type="dxa" w:w="1200"/>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56%</w:t>
            </w:r>
          </w:p>
        </w:tc>
        <w:tc>
          <w:tcPr>
            <w:tcW w:type="dxa" w:w="4038"/>
            <w:tcBorders>
              <w:top w:val="single" w:color="C5CDD9" w:sz="4"/>
              <w:left w:val="single" w:color="C5CDD9" w:sz="4"/>
              <w:bottom w:val="single" w:color="C5CDD9" w:sz="4"/>
              <w:right w:val="single" w:color="C5CDD9" w:sz="4"/>
            </w:tcBorders>
            <w:shd w:fill="F2F4F7" w:val="clear"/>
            <w:tcMar>
              <w:top w:type="dxa" w:w="70"/>
              <w:left w:type="dxa" w:w="100"/>
              <w:bottom w:type="dxa" w:w="70"/>
              <w:right w:type="dxa" w:w="100"/>
            </w:tcMar>
          </w:tcPr>
          <w:p>
            <w:pPr>
              <w:jc w:val="right"/>
            </w:pPr>
            <w:r>
              <w:rPr>
                <w:rFonts w:ascii="Arial" w:cs="Arial" w:eastAsia="Arial" w:hAnsi="Arial"/>
                <w:b w:val="false"/>
                <w:bCs w:val="false"/>
                <w:i w:val="false"/>
                <w:iCs w:val="false"/>
                <w:color w:val="8B5E00"/>
                <w:sz w:val="18"/>
                <w:szCs w:val="18"/>
              </w:rPr>
              <w:t>Requerida</w:t>
            </w:r>
          </w:p>
        </w:tc>
      </w:tr>
    </w:tbl>
    <w:p>
      <w:pPr>
        <w:spacing w:after="80" w:before="80"/>
      </w:pPr>
    </w:p>
    <w:p>
      <w:pPr>
        <w:spacing w:after="40" w:before="120"/>
      </w:pPr>
    </w:p>
    <w:p>
      <w:pPr>
        <w:pBdr>
          <w:bottom w:val="single" w:color="1F6EBF" w:sz="6" w:space="1"/>
        </w:pBdr>
        <w:spacing w:after="40" w:before="0"/>
      </w:pPr>
      <w:r>
        <w:rPr>
          <w:rFonts w:ascii="Arial" w:cs="Arial" w:eastAsia="Arial" w:hAnsi="Arial"/>
          <w:b/>
          <w:bCs/>
          <w:i w:val="false"/>
          <w:iCs w:val="false"/>
          <w:color w:val="2E4A7A"/>
          <w:sz w:val="22"/>
          <w:szCs w:val="22"/>
        </w:rPr>
        <w:t xml:space="preserve">10.2  Observaciones del Revisor IA</w:t>
      </w:r>
    </w:p>
    <w:p>
      <w:pPr>
        <w:spacing w:after="40" w:before="40"/>
      </w:pPr>
    </w:p>
    <w:p>
      <w:pPr>
        <w:pBdr>
          <w:left w:val="single" w:color="D4A017" w:sz="12" w:space="2"/>
        </w:pBdr>
        <w:shd w:fill="FFF8E7" w:val="clear"/>
        <w:spacing w:after="60" w:before="60"/>
      </w:pPr>
      <w:r>
        <w:rPr>
          <w:rFonts w:ascii="Arial" w:cs="Arial" w:eastAsia="Arial" w:hAnsi="Arial"/>
          <w:b/>
          <w:bCs/>
          <w:i w:val="false"/>
          <w:iCs w:val="false"/>
          <w:color w:val="8B5E00"/>
          <w:sz w:val="20"/>
          <w:szCs w:val="20"/>
        </w:rPr>
        <w:t>El análisis alcanzó un score de validación de 72/100. Requiere revisión humana. — Agente 6: Inconsistencias detectadas entre agentes. Cifras que requieren verificación manual. Anti-alucinación — referencias cruzadas.</w:t>
      </w:r>
    </w:p>
    <w:p>
      <w:pPr>
        <w:spacing w:after="80" w:before="200"/>
      </w:pPr>
    </w:p>
    <w:p>
      <w:pPr>
        <w:pBdr>
          <w:bottom w:val="single" w:color="1B2A4A" w:sz="8" w:space="1"/>
        </w:pBdr>
        <w:spacing w:after="0" w:before="0"/>
      </w:pPr>
    </w:p>
    <w:p>
      <w:pPr>
        <w:spacing w:after="80" w:before="80"/>
      </w:pPr>
    </w:p>
    <w:p>
      <w:pPr>
        <w:spacing w:after="60" w:before="0"/>
      </w:pPr>
      <w:r>
        <w:rPr>
          <w:rFonts w:ascii="Arial" w:cs="Arial" w:eastAsia="Arial" w:hAnsi="Arial"/>
          <w:b/>
          <w:bCs/>
          <w:i w:val="false"/>
          <w:iCs w:val="false"/>
          <w:color w:val="1B2A4A"/>
          <w:sz w:val="22"/>
          <w:szCs w:val="22"/>
        </w:rPr>
        <w:t xml:space="preserve">CERTIFICACIÓN Y APROBACIÓN HUMANA</w:t>
      </w:r>
    </w:p>
    <w:p>
      <w:pPr>
        <w:spacing w:after="160" w:before="0"/>
      </w:pPr>
      <w:r>
        <w:rPr>
          <w:rFonts w:ascii="Arial" w:cs="Arial" w:eastAsia="Arial" w:hAnsi="Arial"/>
          <w:b w:val="false"/>
          <w:bCs w:val="false"/>
          <w:i/>
          <w:iCs/>
          <w:color w:val="3D3D5C"/>
          <w:sz w:val="18"/>
          <w:szCs w:val="18"/>
        </w:rPr>
        <w:t xml:space="preserve">Los suscritos, habiendo revisado el presente análisis generado por el sistema CreditIQ, certificamos que las cifras han sido verificadas contra los libros contables y que el contenido narrativo refleja fielmente la situación financiera del Fondo al período indicado.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400"/>
        <w:gridCol w:w="4638"/>
      </w:tblGrid>
      <w:tr>
        <w:tc>
          <w:tcPr>
            <w:tcW w:type="dxa" w:w="4600"/>
            <w:tcBorders>
              <w:top w:val="none" w:color="FFFFFF" w:sz="0"/>
              <w:left w:val="none" w:color="FFFFFF" w:sz="0"/>
              <w:bottom w:val="single" w:color="3D3D5C" w:sz="4"/>
              <w:right w:val="none" w:color="FFFFFF" w:sz="0"/>
            </w:tcBorders>
            <w:tcMar>
              <w:top w:type="dxa" w:w="200"/>
              <w:left w:type="dxa" w:w="0"/>
              <w:bottom w:type="dxa" w:w="80"/>
              <w:right w:type="dxa" w:w="0"/>
            </w:tcMar>
          </w:tcPr>
          <w:p>
            <w:r>
              <w:rPr>
                <w:rFonts w:ascii="Arial" w:cs="Arial" w:eastAsia="Arial" w:hAnsi="Arial"/>
                <w:b w:val="false"/>
                <w:bCs w:val="false"/>
                <w:i w:val="false"/>
                <w:iCs w:val="false"/>
                <w:color w:val="1A1A2E"/>
                <w:sz w:val="20"/>
                <w:szCs w:val="20"/>
              </w:rPr>
              <w:t>_______________________</w:t>
            </w:r>
          </w:p>
          <w:p>
            <w:pPr>
              <w:spacing w:before="40"/>
            </w:pPr>
            <w:r>
              <w:rPr>
                <w:rFonts w:ascii="Arial" w:cs="Arial" w:eastAsia="Arial" w:hAnsi="Arial"/>
                <w:b/>
                <w:bCs/>
                <w:i w:val="false"/>
                <w:iCs w:val="false"/>
                <w:color w:val="2E4A7A"/>
                <w:sz w:val="18"/>
                <w:szCs w:val="18"/>
              </w:rPr>
              <w:t xml:space="preserve">Representante Legal</w:t>
            </w:r>
          </w:p>
          <w:p>
            <w:r>
              <w:rPr>
                <w:rFonts w:ascii="Arial" w:cs="Arial" w:eastAsia="Arial" w:hAnsi="Arial"/>
                <w:b w:val="false"/>
                <w:bCs w:val="false"/>
                <w:i w:val="false"/>
                <w:iCs w:val="false"/>
                <w:color w:val="3D3D5C"/>
                <w:sz w:val="16"/>
                <w:szCs w:val="16"/>
              </w:rPr>
              <w:t>Fecha: 01/06/2026</w:t>
            </w:r>
          </w:p>
        </w:tc>
        <w:tc>
          <w:tcPr>
            <w:tcW w:type="dxa" w:w="40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single" w:color="3D3D5C" w:sz="4"/>
              <w:right w:val="none" w:color="FFFFFF" w:sz="0"/>
            </w:tcBorders>
            <w:tcMar>
              <w:top w:type="dxa" w:w="200"/>
              <w:left w:type="dxa" w:w="0"/>
              <w:bottom w:type="dxa" w:w="80"/>
              <w:right w:type="dxa" w:w="0"/>
            </w:tcMar>
          </w:tcPr>
          <w:p>
            <w:r>
              <w:rPr>
                <w:rFonts w:ascii="Arial" w:cs="Arial" w:eastAsia="Arial" w:hAnsi="Arial"/>
                <w:b w:val="false"/>
                <w:bCs w:val="false"/>
                <w:i w:val="false"/>
                <w:iCs w:val="false"/>
                <w:color w:val="1A1A2E"/>
                <w:sz w:val="20"/>
                <w:szCs w:val="20"/>
              </w:rPr>
              <w:t>_______________________</w:t>
            </w:r>
          </w:p>
          <w:p>
            <w:pPr>
              <w:spacing w:before="40"/>
            </w:pPr>
            <w:r>
              <w:rPr>
                <w:rFonts w:ascii="Arial" w:cs="Arial" w:eastAsia="Arial" w:hAnsi="Arial"/>
                <w:b/>
                <w:bCs/>
                <w:i w:val="false"/>
                <w:iCs w:val="false"/>
                <w:color w:val="2E4A7A"/>
                <w:sz w:val="18"/>
                <w:szCs w:val="18"/>
              </w:rPr>
              <w:t xml:space="preserve">Contador Público</w:t>
            </w:r>
          </w:p>
          <w:p>
            <w:r>
              <w:rPr>
                <w:rFonts w:ascii="Arial" w:cs="Arial" w:eastAsia="Arial" w:hAnsi="Arial"/>
                <w:b w:val="false"/>
                <w:bCs w:val="false"/>
                <w:i w:val="false"/>
                <w:iCs w:val="false"/>
                <w:color w:val="3D3D5C"/>
                <w:sz w:val="16"/>
                <w:szCs w:val="16"/>
              </w:rPr>
              <w:t>T.P. _______</w:t>
            </w:r>
          </w:p>
          <w:p>
            <w:r>
              <w:rPr>
                <w:rFonts w:ascii="Arial" w:cs="Arial" w:eastAsia="Arial" w:hAnsi="Arial"/>
                <w:b w:val="false"/>
                <w:bCs w:val="false"/>
                <w:i w:val="false"/>
                <w:iCs w:val="false"/>
                <w:color w:val="3D3D5C"/>
                <w:sz w:val="16"/>
                <w:szCs w:val="16"/>
              </w:rPr>
              <w:t>Fecha: 01/06/2026</w:t>
            </w:r>
          </w:p>
        </w:tc>
      </w:tr>
    </w:tbl>
    <w:p>
      <w:pPr>
        <w:spacing w:after="80" w:before="120"/>
      </w:pPr>
    </w:p>
    <w:p>
      <w:pPr>
        <w:spacing w:after="40" w:before="0"/>
      </w:pPr>
      <w:r>
        <w:rPr>
          <w:rFonts w:ascii="Arial" w:cs="Arial" w:eastAsia="Arial" w:hAnsi="Arial"/>
          <w:b/>
          <w:bCs/>
          <w:i w:val="false"/>
          <w:iCs w:val="false"/>
          <w:color w:val="C0392B"/>
          <w:sz w:val="16"/>
          <w:szCs w:val="16"/>
        </w:rPr>
        <w:t>Nota: Este documento fue generado por el sistema CreditIQ (IA Multiagente). Su contenido debe ser validado por profesionales contables certificados antes de ser utilizado para fines regulatorios o de toma de decisiones. Referencia: 7042326d-992d-4875-8f42-d64bc828175a</w:t>
      </w:r>
    </w:p>
    <w:sectPr>
      <w:headerReference w:type="default" r:id="rId7"/>
      <w:footerReference w:type="default" r:id="rId8"/>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9" w:sz="6" w:space="1"/>
      </w:pBdr>
      <w:tabs>
        <w:tab w:val="center" w:pos="4819"/>
        <w:tab w:val="right" w:pos="9638"/>
      </w:tabs>
      <w:spacing w:after="0" w:before="80"/>
    </w:pPr>
    <w:r>
      <w:rPr>
        <w:rFonts w:ascii="Arial" w:cs="Arial" w:eastAsia="Arial" w:hAnsi="Arial"/>
        <w:b w:val="false"/>
        <w:bCs w:val="false"/>
        <w:i w:val="false"/>
        <w:iCs w:val="false"/>
        <w:color w:val="3D3D5C"/>
        <w:sz w:val="16"/>
        <w:szCs w:val="16"/>
      </w:rPr>
      <w:t xml:space="preserve">Confidencial — Uso Interno BTG Pactual</w:t>
    </w:r>
    <w:r>
      <w:rPr>
        <w:rFonts w:ascii="Arial" w:cs="Arial" w:eastAsia="Arial" w:hAnsi="Arial"/>
      </w:rPr>
      <w:t xml:space="preserve">	</w:t>
    </w:r>
    <w:r>
      <w:rPr>
        <w:rFonts w:ascii="Arial" w:cs="Arial" w:eastAsia="Arial" w:hAnsi="Arial"/>
        <w:b w:val="false"/>
        <w:bCs w:val="false"/>
        <w:i w:val="false"/>
        <w:iCs w:val="false"/>
        <w:color w:val="3D3D5C"/>
        <w:sz w:val="16"/>
        <w:szCs w:val="16"/>
      </w:rPr>
      <w:t xml:space="preserve">CreditIQ v{{REPORT_VERSION}} — IA Generado</w:t>
    </w:r>
    <w:r>
      <w:rPr>
        <w:rFonts w:ascii="Arial" w:cs="Arial" w:eastAsia="Arial" w:hAnsi="Arial"/>
      </w:rPr>
      <w:t xml:space="preserve">	</w:t>
    </w:r>
    <w:r>
      <w:rPr>
        <w:rFonts w:ascii="Arial" w:cs="Arial" w:eastAsia="Arial" w:hAnsi="Arial"/>
        <w:b w:val="false"/>
        <w:bCs w:val="false"/>
        <w:i w:val="false"/>
        <w:iCs w:val="false"/>
        <w:color w:val="3D3D5C"/>
        <w:sz w:val="16"/>
        <w:szCs w:val="16"/>
      </w:rPr>
      <w:t xml:space="preserve">Pág. </w:t>
    </w:r>
    <w:r>
      <w:rPr>
        <w:rFonts w:ascii="Arial" w:cs="Arial" w:eastAsia="Arial" w:hAnsi="Arial"/>
        <w:color w:val="3D3D5C"/>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3D3D5C"/>
        <w:sz w:val="16"/>
        <w:szCs w:val="16"/>
      </w:rPr>
      <w:t xml:space="preserve"> de </w:t>
    </w:r>
    <w:r>
      <w:rPr>
        <w:rFonts w:ascii="Arial" w:cs="Arial" w:eastAsia="Arial" w:hAnsi="Arial"/>
        <w:color w:val="3D3D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1"/>
      </w:pBdr>
      <w:tabs>
        <w:tab w:val="right" w:pos="9638"/>
      </w:tabs>
      <w:spacing w:after="80" w:before="0"/>
    </w:pPr>
    <w:r>
      <w:rPr>
        <w:rFonts w:ascii="Arial" w:cs="Arial" w:eastAsia="Arial" w:hAnsi="Arial"/>
        <w:b/>
        <w:bCs/>
        <w:i w:val="false"/>
        <w:iCs w:val="false"/>
        <w:color w:val="1B2A4A"/>
        <w:sz w:val="18"/>
        <w:szCs w:val="18"/>
      </w:rPr>
      <w:t xml:space="preserve">CREDITIQ — Análisis Financiero IA</w:t>
    </w:r>
    <w:r>
      <w:rPr>
        <w:rFonts w:ascii="Arial" w:cs="Arial" w:eastAsia="Arial" w:hAnsi="Arial"/>
      </w:rPr>
      <w:t xml:space="preserve">	</w:t>
    </w:r>
    <w:r>
      <w:rPr>
        <w:rFonts w:ascii="Arial" w:cs="Arial" w:eastAsia="Arial" w:hAnsi="Arial"/>
        <w:b w:val="false"/>
        <w:bCs w:val="false"/>
        <w:i w:val="false"/>
        <w:iCs w:val="false"/>
        <w:color w:val="3D3D5C"/>
        <w:sz w:val="18"/>
        <w:szCs w:val="18"/>
      </w:rPr>
      <w:t xml:space="preserve">{{ENTITY_NAME}} | {{PERIOD}}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2026-05-31T20:18:53.599Z</dcterms:created>
  <dcterms:modified xsi:type="dcterms:W3CDTF">2026-05-31T20:18:53.600Z</dcterms:modified>
</cp:coreProperties>
</file>

<file path=docProps/custom.xml><?xml version="1.0" encoding="utf-8"?>
<Properties xmlns="http://schemas.openxmlformats.org/officeDocument/2006/custom-properties" xmlns:vt="http://schemas.openxmlformats.org/officeDocument/2006/docPropsVTypes"/>
</file>