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3120"/>
        <w:gridCol w:w="3120"/>
        <w:gridCol w:w="3120"/>
      </w:tblGrid>
      <w:tr>
        <w:tc>
          <w:tcPr>
            <w:gridSpan w:val="3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Roboto" w:hAnsi="Roboto" w:eastAsia="Roboto" w:cs="Roboto"/>
                <w:b w:val="true"/>
                <w:sz w:val="20"/>
              </w:rPr>
              <w:t xml:space="preserve">Tabla B.5-5 — ICC y efecto de diseño (DEFF) por variable de resultado principal (versión ENA)</w:t>
            </w:r>
          </w:p>
        </w:tc>
      </w:tr>
      <w:tr>
        <w:tc>
          <w:tcPr>
            <w:tcW w:w="50" w:type="pct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</w:tcPr>
          <w:p>
            <w:pPr>
              <w:spacing w:after="0"/>
            </w:pPr>
          </w:p>
        </w:tc>
        <w:tc>
          <w:tcPr>
            <w:tcW w:w="25" w:type="pct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ICC</w:t>
            </w:r>
          </w:p>
        </w:tc>
        <w:tc>
          <w:tcPr>
            <w:tcW w:w="25" w:type="pct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DEFF</w:t>
            </w:r>
          </w:p>
        </w:tc>
      </w:tr>
      <w:tr>
        <w:tc>
          <w:tcPr>
            <w:tcW w:w="50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BPA Riego</w:t>
            </w:r>
          </w:p>
        </w:tc>
        <w:tc>
          <w:tcPr>
            <w:tcW w:w="25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0.167</w:t>
            </w:r>
          </w:p>
        </w:tc>
        <w:tc>
          <w:tcPr>
            <w:tcW w:w="25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2.92</w:t>
            </w:r>
          </w:p>
        </w:tc>
      </w:tr>
      <w:tr>
        <w:tc>
          <w:tcPr>
            <w:tcW w:w="5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BPA Suelo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0.067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1.89</w:t>
            </w:r>
          </w:p>
        </w:tc>
      </w:tr>
      <w:tr>
        <w:tc>
          <w:tcPr>
            <w:tcW w:w="5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BPA Fertilizantes/Abonos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0.055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1.76</w:t>
            </w:r>
          </w:p>
        </w:tc>
      </w:tr>
      <w:tr>
        <w:tc>
          <w:tcPr>
            <w:tcW w:w="5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BPA Plaguicidas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0.126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2.49</w:t>
            </w:r>
          </w:p>
        </w:tc>
      </w:tr>
      <w:tr>
        <w:tc>
          <w:tcPr>
            <w:tcW w:w="5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BPA Control biológico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.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.</w:t>
            </w:r>
          </w:p>
        </w:tc>
      </w:tr>
      <w:tr>
        <w:tc>
          <w:tcPr>
            <w:tcW w:w="5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BPA Manejo integrado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0.612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7.49</w:t>
            </w:r>
          </w:p>
        </w:tc>
      </w:tr>
      <w:tr>
        <w:tc>
          <w:tcPr>
            <w:tcW w:w="5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BPA Inocuidad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0.227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3.53</w:t>
            </w:r>
          </w:p>
        </w:tc>
      </w:tr>
      <w:tr>
        <w:tc>
          <w:tcPr>
            <w:tcW w:w="5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Pilar Agro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0.111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2.34</w:t>
            </w:r>
          </w:p>
        </w:tc>
      </w:tr>
      <w:tr>
        <w:tc>
          <w:tcPr>
            <w:tcW w:w="5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Pilar Insumos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0.599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7.36</w:t>
            </w:r>
          </w:p>
        </w:tc>
      </w:tr>
      <w:tr>
        <w:tc>
          <w:tcPr>
            <w:tcW w:w="5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Pilar Inocuidad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0.227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3.53</w:t>
            </w:r>
          </w:p>
        </w:tc>
      </w:tr>
      <w:tr>
        <w:tc>
          <w:tcPr>
            <w:tcW w:w="50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Compuesto final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0.230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3.56</w:t>
            </w:r>
          </w:p>
        </w:tc>
      </w:tr>
      <w:tr>
        <w:tc>
          <w:tcPr>
            <w:gridSpan w:val="3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Roboto" w:hAnsi="Roboto" w:eastAsia="Roboto" w:cs="Roboto"/>
                <w:i w:val="true"/>
                <w:sz w:val="18"/>
              </w:rPr>
              <w:t xml:space="preserve">Notas: La tabla reporta </w:t>
            </w:r>
            <w:r>
              <w:rPr>
                <w:rFonts w:ascii="Roboto" w:hAnsi="Roboto" w:eastAsia="Roboto" w:cs="Roboto"/>
                <w:i w:val="true"/>
                <w:sz w:val="18"/>
              </w:rPr>
              <w:t xml:space="preserve">el coeficiente de correlación intraclúster (ICC) y el efecto de diseño aproximado (DEFF)</w:t>
            </w:r>
            <w:r>
              <w:rPr>
                <w:rFonts w:ascii="Roboto" w:hAnsi="Roboto" w:eastAsia="Roboto" w:cs="Roboto"/>
                <w:i w:val="true"/>
                <w:sz w:val="18"/>
              </w:rPr>
              <w:t xml:space="preserve"> para las variables de resultado principales del estudio</w:t>
            </w:r>
            <w:r>
              <w:rPr>
                <w:rFonts w:ascii="Roboto" w:hAnsi="Roboto" w:eastAsia="Roboto" w:cs="Roboto"/>
                <w:i w:val="true"/>
                <w:sz w:val="18"/>
              </w:rPr>
              <w:t xml:space="preserve"> (Buenas Prácticas Agrícolas, versión ENA), </w:t>
            </w:r>
            <w:r>
              <w:rPr>
                <w:rFonts w:ascii="Roboto" w:hAnsi="Roboto" w:eastAsia="Roboto" w:cs="Roboto"/>
                <w:i w:val="true"/>
                <w:sz w:val="18"/>
              </w:rPr>
              <w:t xml:space="preserve">medidos en línea base sobre la</w:t>
            </w:r>
            <w:r>
              <w:rPr>
                <w:rFonts w:ascii="Roboto" w:hAnsi="Roboto" w:eastAsia="Roboto" w:cs="Roboto"/>
                <w:i w:val="true"/>
                <w:sz w:val="18"/>
              </w:rPr>
              <w:t xml:space="preserve"> muestra analítica (definida en la Figura 4.2-1). El ICC se estima con un modelo lineal de efectos aleatorios a nivel de centro poblado </w:t>
            </w:r>
            <w:r>
              <w:rPr>
                <w:rFonts w:ascii="Roboto" w:hAnsi="Roboto" w:eastAsia="Roboto" w:cs="Roboto"/>
                <w:i w:val="true"/>
                <w:sz w:val="18"/>
              </w:rPr>
              <w:t xml:space="preserve">sobre la muestra analítica en línea base. El DEFF</w:t>
            </w:r>
            <w:r>
              <w:rPr>
                <w:rFonts w:ascii="Roboto" w:hAnsi="Roboto" w:eastAsia="Roboto" w:cs="Roboto"/>
                <w:i w:val="true"/>
                <w:sz w:val="18"/>
              </w:rPr>
              <w:t xml:space="preserve"> se calcula como DEFF = 1 + CV²_m + (m̄ − 1)·ρ, </w:t>
            </w:r>
            <w:r>
              <w:rPr>
                <w:rFonts w:ascii="Roboto" w:hAnsi="Roboto" w:eastAsia="Roboto" w:cs="Roboto"/>
                <w:i w:val="true"/>
                <w:sz w:val="18"/>
              </w:rPr>
              <w:t xml:space="preserve">donde ρ es el ICC de la variable de resultado y</w:t>
            </w:r>
            <w:r>
              <w:rPr>
                <w:rFonts w:ascii="Roboto" w:hAnsi="Roboto" w:eastAsia="Roboto" w:cs="Roboto"/>
                <w:i w:val="true"/>
                <w:sz w:val="18"/>
              </w:rPr>
              <w:t xml:space="preserve"> m̄, CV²_m son la media y el coeficiente de variación cuadrático del número de productores por centro poblado (m̄ = 11.29, CV²_m = 0.197). Un DEFF mayor a 1 indica que el agrupamiento reduce el tamaño efectivo de muestra: por ejemplo, DEFF = 2 implica que el N efectivo es la mitad del N nominal a fines de inferencia. </w:t>
            </w:r>
            <w:r>
              <w:rPr>
                <w:rFonts w:ascii="Roboto" w:hAnsi="Roboto" w:eastAsia="Roboto" w:cs="Roboto"/>
                <w:i w:val="true"/>
                <w:sz w:val="18"/>
              </w:rPr>
              <w:t xml:space="preserve">La heterogeneidad del DEFF entre variables de resultado refleja la heterogeneidad del agrupamiento subyacente</w:t>
            </w:r>
            <w:r>
              <w:rPr>
                <w:rFonts w:ascii="Roboto" w:hAnsi="Roboto" w:eastAsia="Roboto" w:cs="Roboto"/>
                <w:i w:val="true"/>
                <w:sz w:val="18"/>
              </w:rPr>
              <w:t xml:space="preserve">.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