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tbl>
      <w:tblPr>
        <w:tblStyle w:val="TableGrid"/>
      </w:tblPr>
      <w:tblGrid>
        <w:gridCol w:w="1170"/>
        <w:gridCol w:w="1170"/>
        <w:gridCol w:w="1170"/>
        <w:gridCol w:w="1170"/>
        <w:gridCol w:w="1170"/>
        <w:gridCol w:w="1170"/>
        <w:gridCol w:w="1170"/>
        <w:gridCol w:w="1170"/>
      </w:tblGrid>
      <w:tr>
        <w:tc>
          <w:tcPr>
            <w:gridSpan w:val="8"/>
            <w:tcBorders>
              <w:top w:val="nil" w:color="000000"/>
              <w:left w:val="nil" w:color="000000"/>
              <w:bottom w:val="single" w:color="000000"/>
              <w:right w:val="nil" w:color="000000"/>
            </w:tcBorders>
          </w:tcPr>
          <w:p>
            <w:pPr>
              <w:spacing w:after="0"/>
            </w:pPr>
            <w:r>
              <w:rPr>
                <w:rFonts w:ascii="Roboto" w:hAnsi="Roboto" w:eastAsia="Roboto" w:cs="Roboto"/>
                <w:b w:val="true"/>
                <w:sz w:val="20"/>
              </w:rPr>
              <w:t xml:space="preserve">Tabla D14 — Robustez al momento de recolección — variables de resultado en versión ENA, en línea base</w:t>
            </w:r>
          </w:p>
        </w:tc>
      </w:tr>
      <w:tr>
        <w:tc>
          <w:tcPr>
            <w:tcW w:w="34" w:type="pct"/>
            <w:tcBorders>
              <w:top w:val="single" w:color="000000"/>
              <w:left w:val="nil" w:color="000000"/>
              <w:bottom w:val="nil" w:color="000000"/>
              <w:right w:val="nil" w:color="000000"/>
            </w:tcBorders>
            <w:shd w:val="solid" w:color="004E70" w:fill="004E70"/>
          </w:tcPr>
          <w:p>
            <w:pPr>
              <w:spacing w:after="0"/>
            </w:pPr>
          </w:p>
        </w:tc>
        <w:tc>
          <w:tcPr>
            <w:tcW w:w="18" w:type="dxa"/>
            <w:gridSpan w:val="2"/>
            <w:tcBorders>
              <w:top w:val="single" w:color="000000"/>
              <w:left w:val="nil" w:color="000000"/>
              <w:bottom w:val="nil"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(i) Cruda</w:t>
            </w:r>
          </w:p>
        </w:tc>
        <w:tc>
          <w:tcPr>
            <w:tcW w:w="18" w:type="dxa"/>
            <w:gridSpan w:val="2"/>
            <w:tcBorders>
              <w:top w:val="single" w:color="000000"/>
              <w:left w:val="nil" w:color="000000"/>
              <w:bottom w:val="nil"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(ii) Ajustada (mes-enc)</w:t>
            </w:r>
          </w:p>
        </w:tc>
        <w:tc>
          <w:tcPr>
            <w:tcW w:w="18" w:type="dxa"/>
            <w:gridSpan w:val="2"/>
            <w:tcBorders>
              <w:top w:val="single" w:color="000000"/>
              <w:left w:val="nil" w:color="000000"/>
              <w:bottom w:val="nil"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(iii) Ventana común</w:t>
            </w:r>
          </w:p>
        </w:tc>
        <w:tc>
          <w:tcPr>
            <w:tcW w:w="12" w:type="pct"/>
            <w:tcBorders>
              <w:top w:val="single" w:color="000000"/>
              <w:left w:val="nil" w:color="000000"/>
              <w:bottom w:val="nil"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(i) − (ii)</w:t>
            </w:r>
          </w:p>
        </w:tc>
      </w:tr>
      <w:tr>
        <w:tc>
          <w:tcPr>
            <w:tcW w:w="34" w:type="pct"/>
            <w:tcBorders>
              <w:top w:val="nil" w:color="000000"/>
              <w:left w:val="nil" w:color="000000"/>
              <w:bottom w:val="single" w:color="000000"/>
              <w:right w:val="nil" w:color="000000"/>
            </w:tcBorders>
            <w:shd w:val="solid" w:color="004E70" w:fill="004E70"/>
          </w:tcPr>
          <w:p>
            <w:pPr>
              <w:spacing w:after="0"/>
            </w:pPr>
          </w:p>
        </w:tc>
        <w:tc>
          <w:tcPr>
            <w:tcW w:w="9" w:type="pct"/>
            <w:tcBorders>
              <w:top w:val="nil" w:color="000000"/>
              <w:left w:val="nil" w:color="000000"/>
              <w:bottom w:val="single"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Coef.</w:t>
            </w:r>
          </w:p>
        </w:tc>
        <w:tc>
          <w:tcPr>
            <w:tcW w:w="9" w:type="pct"/>
            <w:tcBorders>
              <w:top w:val="nil" w:color="000000"/>
              <w:left w:val="nil" w:color="000000"/>
              <w:bottom w:val="single"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p</w:t>
            </w:r>
          </w:p>
        </w:tc>
        <w:tc>
          <w:tcPr>
            <w:tcW w:w="9" w:type="pct"/>
            <w:tcBorders>
              <w:top w:val="nil" w:color="000000"/>
              <w:left w:val="nil" w:color="000000"/>
              <w:bottom w:val="single"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Coef.</w:t>
            </w:r>
          </w:p>
        </w:tc>
        <w:tc>
          <w:tcPr>
            <w:tcW w:w="9" w:type="pct"/>
            <w:tcBorders>
              <w:top w:val="nil" w:color="000000"/>
              <w:left w:val="nil" w:color="000000"/>
              <w:bottom w:val="single"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p</w:t>
            </w:r>
          </w:p>
        </w:tc>
        <w:tc>
          <w:tcPr>
            <w:tcW w:w="9" w:type="pct"/>
            <w:tcBorders>
              <w:top w:val="nil" w:color="000000"/>
              <w:left w:val="nil" w:color="000000"/>
              <w:bottom w:val="single"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Coef.</w:t>
            </w:r>
          </w:p>
        </w:tc>
        <w:tc>
          <w:tcPr>
            <w:tcW w:w="9" w:type="pct"/>
            <w:tcBorders>
              <w:top w:val="nil" w:color="000000"/>
              <w:left w:val="nil" w:color="000000"/>
              <w:bottom w:val="single"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p</w:t>
            </w:r>
          </w:p>
        </w:tc>
        <w:tc>
          <w:tcPr>
            <w:tcW w:w="12" w:type="pct"/>
            <w:tcBorders>
              <w:top w:val="nil" w:color="000000"/>
              <w:left w:val="nil" w:color="000000"/>
              <w:bottom w:val="single"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Δ</w:t>
            </w:r>
          </w:p>
        </w:tc>
      </w:tr>
      <w:tr>
        <w:tc>
          <w:tcPr>
            <w:tcW w:w="34" w:type="pct"/>
            <w:tcBorders>
              <w:top w:val="single" w:color="000000"/>
              <w:left w:val="nil" w:color="000000"/>
              <w:bottom w:val="nil" w:color="000000"/>
              <w:right w:val="nil" w:color="000000"/>
            </w:tcBorders>
            <w:vAlign w:val="center"/>
          </w:tcPr>
          <w:p>
            <w:pPr>
              <w:spacing w:after="0"/>
              <w:jc w:val="left"/>
            </w:pPr>
            <w:r>
              <w:rPr>
                <w:rFonts w:ascii="Roboto" w:hAnsi="Roboto" w:eastAsia="Roboto" w:cs="Roboto"/>
                <w:sz w:val="20"/>
              </w:rPr>
              <w:t xml:space="preserve">BPA Riego</w:t>
            </w:r>
          </w:p>
        </w:tc>
        <w:tc>
          <w:tcPr>
            <w:tcW w:w="9" w:type="pct"/>
            <w:tcBorders>
              <w:top w:val="single"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0.0474</w:t>
            </w:r>
          </w:p>
        </w:tc>
        <w:tc>
          <w:tcPr>
            <w:tcW w:w="9" w:type="pct"/>
            <w:tcBorders>
              <w:top w:val="single"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0.035**</w:t>
            </w:r>
          </w:p>
        </w:tc>
        <w:tc>
          <w:tcPr>
            <w:tcW w:w="9" w:type="pct"/>
            <w:tcBorders>
              <w:top w:val="single"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0.0488</w:t>
            </w:r>
          </w:p>
        </w:tc>
        <w:tc>
          <w:tcPr>
            <w:tcW w:w="9" w:type="pct"/>
            <w:tcBorders>
              <w:top w:val="single"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0.034**</w:t>
            </w:r>
          </w:p>
        </w:tc>
        <w:tc>
          <w:tcPr>
            <w:tcW w:w="9" w:type="pct"/>
            <w:tcBorders>
              <w:top w:val="single"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0.0474</w:t>
            </w:r>
          </w:p>
        </w:tc>
        <w:tc>
          <w:tcPr>
            <w:tcW w:w="9" w:type="pct"/>
            <w:tcBorders>
              <w:top w:val="single"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0.035**</w:t>
            </w:r>
          </w:p>
        </w:tc>
        <w:tc>
          <w:tcPr>
            <w:tcW w:w="12" w:type="pct"/>
            <w:tcBorders>
              <w:top w:val="single"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-0.0014</w:t>
            </w:r>
          </w:p>
        </w:tc>
      </w:tr>
      <w:tr>
        <w:tc>
          <w:tcPr>
            <w:tcW w:w="34" w:type="pct"/>
            <w:tcBorders>
              <w:top w:val="nil" w:color="000000"/>
              <w:left w:val="nil" w:color="000000"/>
              <w:bottom w:val="nil" w:color="000000"/>
              <w:right w:val="nil" w:color="000000"/>
            </w:tcBorders>
            <w:vAlign w:val="center"/>
          </w:tcPr>
          <w:p>
            <w:pPr>
              <w:spacing w:after="0"/>
              <w:jc w:val="left"/>
            </w:pPr>
            <w:r>
              <w:rPr>
                <w:rFonts w:ascii="Roboto" w:hAnsi="Roboto" w:eastAsia="Roboto" w:cs="Roboto"/>
                <w:sz w:val="20"/>
              </w:rPr>
              <w:t xml:space="preserve">BPA Suelo</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0.0076</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0.353</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0.0097</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0.235</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0.0076</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0.353</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-0.0021</w:t>
            </w:r>
          </w:p>
        </w:tc>
      </w:tr>
      <w:tr>
        <w:tc>
          <w:tcPr>
            <w:tcW w:w="34" w:type="pct"/>
            <w:tcBorders>
              <w:top w:val="nil" w:color="000000"/>
              <w:left w:val="nil" w:color="000000"/>
              <w:bottom w:val="nil" w:color="000000"/>
              <w:right w:val="nil" w:color="000000"/>
            </w:tcBorders>
            <w:vAlign w:val="center"/>
          </w:tcPr>
          <w:p>
            <w:pPr>
              <w:spacing w:after="0"/>
              <w:jc w:val="left"/>
            </w:pPr>
            <w:r>
              <w:rPr>
                <w:rFonts w:ascii="Roboto" w:hAnsi="Roboto" w:eastAsia="Roboto" w:cs="Roboto"/>
                <w:sz w:val="20"/>
              </w:rPr>
              <w:t xml:space="preserve">BPA Fertilizantes/Abonos</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-0.0014</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0.770</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-0.0048</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0.234</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-0.0014</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0.770</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0.0035</w:t>
            </w:r>
          </w:p>
        </w:tc>
      </w:tr>
      <w:tr>
        <w:tc>
          <w:tcPr>
            <w:tcW w:w="34" w:type="pct"/>
            <w:tcBorders>
              <w:top w:val="nil" w:color="000000"/>
              <w:left w:val="nil" w:color="000000"/>
              <w:bottom w:val="nil" w:color="000000"/>
              <w:right w:val="nil" w:color="000000"/>
            </w:tcBorders>
            <w:vAlign w:val="center"/>
          </w:tcPr>
          <w:p>
            <w:pPr>
              <w:spacing w:after="0"/>
              <w:jc w:val="left"/>
            </w:pPr>
            <w:r>
              <w:rPr>
                <w:rFonts w:ascii="Roboto" w:hAnsi="Roboto" w:eastAsia="Roboto" w:cs="Roboto"/>
                <w:sz w:val="20"/>
              </w:rPr>
              <w:t xml:space="preserve">BPA Plaguicidas</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0.0038</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0.420</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0.0004</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0.915</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0.0038</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0.420</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0.0033</w:t>
            </w:r>
          </w:p>
        </w:tc>
      </w:tr>
      <w:tr>
        <w:tc>
          <w:tcPr>
            <w:tcW w:w="34" w:type="pct"/>
            <w:tcBorders>
              <w:top w:val="nil" w:color="000000"/>
              <w:left w:val="nil" w:color="000000"/>
              <w:bottom w:val="nil" w:color="000000"/>
              <w:right w:val="nil" w:color="000000"/>
            </w:tcBorders>
            <w:vAlign w:val="center"/>
          </w:tcPr>
          <w:p>
            <w:pPr>
              <w:spacing w:after="0"/>
              <w:jc w:val="left"/>
            </w:pPr>
            <w:r>
              <w:rPr>
                <w:rFonts w:ascii="Roboto" w:hAnsi="Roboto" w:eastAsia="Roboto" w:cs="Roboto"/>
                <w:sz w:val="20"/>
              </w:rPr>
              <w:t xml:space="preserve">BPA Control biológico</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0.0000</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0.0000</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0.0000</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0.0000</w:t>
            </w:r>
          </w:p>
        </w:tc>
      </w:tr>
      <w:tr>
        <w:tc>
          <w:tcPr>
            <w:tcW w:w="34" w:type="pct"/>
            <w:tcBorders>
              <w:top w:val="nil" w:color="000000"/>
              <w:left w:val="nil" w:color="000000"/>
              <w:bottom w:val="nil" w:color="000000"/>
              <w:right w:val="nil" w:color="000000"/>
            </w:tcBorders>
            <w:vAlign w:val="center"/>
          </w:tcPr>
          <w:p>
            <w:pPr>
              <w:spacing w:after="0"/>
              <w:jc w:val="left"/>
            </w:pPr>
            <w:r>
              <w:rPr>
                <w:rFonts w:ascii="Roboto" w:hAnsi="Roboto" w:eastAsia="Roboto" w:cs="Roboto"/>
                <w:sz w:val="20"/>
              </w:rPr>
              <w:t xml:space="preserve">BPA Manejo integrado</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0.0240</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0.067*</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0.0259</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0.069*</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0.0240</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0.067*</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-0.0019</w:t>
            </w:r>
          </w:p>
        </w:tc>
      </w:tr>
      <w:tr>
        <w:tc>
          <w:tcPr>
            <w:tcW w:w="34" w:type="pct"/>
            <w:tcBorders>
              <w:top w:val="nil" w:color="000000"/>
              <w:left w:val="nil" w:color="000000"/>
              <w:bottom w:val="nil" w:color="000000"/>
              <w:right w:val="nil" w:color="000000"/>
            </w:tcBorders>
            <w:vAlign w:val="center"/>
          </w:tcPr>
          <w:p>
            <w:pPr>
              <w:spacing w:after="0"/>
              <w:jc w:val="left"/>
            </w:pPr>
            <w:r>
              <w:rPr>
                <w:rFonts w:ascii="Roboto" w:hAnsi="Roboto" w:eastAsia="Roboto" w:cs="Roboto"/>
                <w:sz w:val="20"/>
              </w:rPr>
              <w:t xml:space="preserve">BPA Inocuidad</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0.0995</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0.002***</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0.0905</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0.007***</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0.0995</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0.002***</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0.0090</w:t>
            </w:r>
          </w:p>
        </w:tc>
      </w:tr>
      <w:tr>
        <w:tc>
          <w:tcPr>
            <w:tcW w:w="34" w:type="pct"/>
            <w:tcBorders>
              <w:top w:val="nil" w:color="000000"/>
              <w:left w:val="nil" w:color="000000"/>
              <w:bottom w:val="nil" w:color="000000"/>
              <w:right w:val="nil" w:color="000000"/>
            </w:tcBorders>
            <w:vAlign w:val="center"/>
          </w:tcPr>
          <w:p>
            <w:pPr>
              <w:spacing w:after="0"/>
              <w:jc w:val="left"/>
            </w:pPr>
            <w:r>
              <w:rPr>
                <w:rFonts w:ascii="Roboto" w:hAnsi="Roboto" w:eastAsia="Roboto" w:cs="Roboto"/>
                <w:sz w:val="20"/>
              </w:rPr>
              <w:t xml:space="preserve">Pilar Agro</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0.0123</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0.204</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0.0147</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0.135</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0.0123</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0.204</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-0.0023</w:t>
            </w:r>
          </w:p>
        </w:tc>
      </w:tr>
      <w:tr>
        <w:tc>
          <w:tcPr>
            <w:tcW w:w="34" w:type="pct"/>
            <w:tcBorders>
              <w:top w:val="nil" w:color="000000"/>
              <w:left w:val="nil" w:color="000000"/>
              <w:bottom w:val="nil" w:color="000000"/>
              <w:right w:val="nil" w:color="000000"/>
            </w:tcBorders>
            <w:vAlign w:val="center"/>
          </w:tcPr>
          <w:p>
            <w:pPr>
              <w:spacing w:after="0"/>
              <w:jc w:val="left"/>
            </w:pPr>
            <w:r>
              <w:rPr>
                <w:rFonts w:ascii="Roboto" w:hAnsi="Roboto" w:eastAsia="Roboto" w:cs="Roboto"/>
                <w:sz w:val="20"/>
              </w:rPr>
              <w:t xml:space="preserve">Pilar Insumos</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0.0210</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0.097*</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0.0210</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0.102</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0.0210</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0.097*</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0.0000</w:t>
            </w:r>
          </w:p>
        </w:tc>
      </w:tr>
      <w:tr>
        <w:tc>
          <w:tcPr>
            <w:tcW w:w="34" w:type="pct"/>
            <w:tcBorders>
              <w:top w:val="nil" w:color="000000"/>
              <w:left w:val="nil" w:color="000000"/>
              <w:bottom w:val="nil" w:color="000000"/>
              <w:right w:val="nil" w:color="000000"/>
            </w:tcBorders>
            <w:vAlign w:val="center"/>
          </w:tcPr>
          <w:p>
            <w:pPr>
              <w:spacing w:after="0"/>
              <w:jc w:val="left"/>
            </w:pPr>
            <w:r>
              <w:rPr>
                <w:rFonts w:ascii="Roboto" w:hAnsi="Roboto" w:eastAsia="Roboto" w:cs="Roboto"/>
                <w:sz w:val="20"/>
              </w:rPr>
              <w:t xml:space="preserve">Pilar Inocuidad</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0.0995</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0.002***</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0.0905</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0.007***</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0.0995</w:t>
            </w:r>
          </w:p>
        </w:tc>
        <w:tc>
          <w:tcPr>
            <w:tcW w:w="9"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0.002***</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0.0090</w:t>
            </w:r>
          </w:p>
        </w:tc>
      </w:tr>
      <w:tr>
        <w:tc>
          <w:tcPr>
            <w:tcW w:w="34" w:type="pct"/>
            <w:tcBorders>
              <w:top w:val="nil" w:color="000000"/>
              <w:left w:val="nil" w:color="000000"/>
              <w:bottom w:val="single" w:color="000000"/>
              <w:right w:val="nil" w:color="000000"/>
            </w:tcBorders>
            <w:vAlign w:val="center"/>
          </w:tcPr>
          <w:p>
            <w:pPr>
              <w:spacing w:after="0"/>
              <w:jc w:val="left"/>
            </w:pPr>
            <w:r>
              <w:rPr>
                <w:rFonts w:ascii="Roboto" w:hAnsi="Roboto" w:eastAsia="Roboto" w:cs="Roboto"/>
                <w:sz w:val="20"/>
              </w:rPr>
              <w:t xml:space="preserve">Compuesto final</w:t>
            </w:r>
          </w:p>
        </w:tc>
        <w:tc>
          <w:tcPr>
            <w:tcW w:w="9" w:type="pct"/>
            <w:tcBorders>
              <w:top w:val="nil" w:color="000000"/>
              <w:left w:val="nil" w:color="000000"/>
              <w:bottom w:val="single" w:color="000000"/>
              <w:right w:val="nil" w:color="000000"/>
            </w:tcBorders>
            <w:vAlign w:val="center"/>
          </w:tcPr>
          <w:p>
            <w:pPr>
              <w:spacing w:after="0"/>
              <w:jc w:val="center"/>
            </w:pPr>
            <w:r>
              <w:rPr>
                <w:rFonts w:ascii="Roboto" w:hAnsi="Roboto" w:eastAsia="Roboto" w:cs="Roboto"/>
                <w:sz w:val="20"/>
              </w:rPr>
              <w:t xml:space="preserve">0.0425</w:t>
            </w:r>
          </w:p>
        </w:tc>
        <w:tc>
          <w:tcPr>
            <w:tcW w:w="9" w:type="pct"/>
            <w:tcBorders>
              <w:top w:val="nil" w:color="000000"/>
              <w:left w:val="nil" w:color="000000"/>
              <w:bottom w:val="single" w:color="000000"/>
              <w:right w:val="nil" w:color="000000"/>
            </w:tcBorders>
            <w:vAlign w:val="center"/>
          </w:tcPr>
          <w:p>
            <w:pPr>
              <w:spacing w:after="0"/>
              <w:jc w:val="center"/>
            </w:pPr>
            <w:r>
              <w:rPr>
                <w:rFonts w:ascii="Roboto" w:hAnsi="Roboto" w:eastAsia="Roboto" w:cs="Roboto"/>
                <w:sz w:val="20"/>
              </w:rPr>
              <w:t xml:space="preserve">0.005***</w:t>
            </w:r>
          </w:p>
        </w:tc>
        <w:tc>
          <w:tcPr>
            <w:tcW w:w="9" w:type="pct"/>
            <w:tcBorders>
              <w:top w:val="nil" w:color="000000"/>
              <w:left w:val="nil" w:color="000000"/>
              <w:bottom w:val="single" w:color="000000"/>
              <w:right w:val="nil" w:color="000000"/>
            </w:tcBorders>
            <w:vAlign w:val="center"/>
          </w:tcPr>
          <w:p>
            <w:pPr>
              <w:spacing w:after="0"/>
              <w:jc w:val="center"/>
            </w:pPr>
            <w:r>
              <w:rPr>
                <w:rFonts w:ascii="Roboto" w:hAnsi="Roboto" w:eastAsia="Roboto" w:cs="Roboto"/>
                <w:sz w:val="20"/>
              </w:rPr>
              <w:t xml:space="preserve">0.0375</w:t>
            </w:r>
          </w:p>
        </w:tc>
        <w:tc>
          <w:tcPr>
            <w:tcW w:w="9" w:type="pct"/>
            <w:tcBorders>
              <w:top w:val="nil" w:color="000000"/>
              <w:left w:val="nil" w:color="000000"/>
              <w:bottom w:val="single" w:color="000000"/>
              <w:right w:val="nil" w:color="000000"/>
            </w:tcBorders>
            <w:vAlign w:val="center"/>
          </w:tcPr>
          <w:p>
            <w:pPr>
              <w:spacing w:after="0"/>
              <w:jc w:val="center"/>
            </w:pPr>
            <w:r>
              <w:rPr>
                <w:rFonts w:ascii="Roboto" w:hAnsi="Roboto" w:eastAsia="Roboto" w:cs="Roboto"/>
                <w:sz w:val="20"/>
              </w:rPr>
              <w:t xml:space="preserve">0.008***</w:t>
            </w:r>
          </w:p>
        </w:tc>
        <w:tc>
          <w:tcPr>
            <w:tcW w:w="9" w:type="pct"/>
            <w:tcBorders>
              <w:top w:val="nil" w:color="000000"/>
              <w:left w:val="nil" w:color="000000"/>
              <w:bottom w:val="single" w:color="000000"/>
              <w:right w:val="nil" w:color="000000"/>
            </w:tcBorders>
            <w:vAlign w:val="center"/>
          </w:tcPr>
          <w:p>
            <w:pPr>
              <w:spacing w:after="0"/>
              <w:jc w:val="center"/>
            </w:pPr>
            <w:r>
              <w:rPr>
                <w:rFonts w:ascii="Roboto" w:hAnsi="Roboto" w:eastAsia="Roboto" w:cs="Roboto"/>
                <w:sz w:val="20"/>
              </w:rPr>
              <w:t xml:space="preserve">0.0425</w:t>
            </w:r>
          </w:p>
        </w:tc>
        <w:tc>
          <w:tcPr>
            <w:tcW w:w="9" w:type="pct"/>
            <w:tcBorders>
              <w:top w:val="nil" w:color="000000"/>
              <w:left w:val="nil" w:color="000000"/>
              <w:bottom w:val="single" w:color="000000"/>
              <w:right w:val="nil" w:color="000000"/>
            </w:tcBorders>
            <w:vAlign w:val="center"/>
          </w:tcPr>
          <w:p>
            <w:pPr>
              <w:spacing w:after="0"/>
              <w:jc w:val="center"/>
            </w:pPr>
            <w:r>
              <w:rPr>
                <w:rFonts w:ascii="Roboto" w:hAnsi="Roboto" w:eastAsia="Roboto" w:cs="Roboto"/>
                <w:sz w:val="20"/>
              </w:rPr>
              <w:t xml:space="preserve">0.005***</w:t>
            </w:r>
          </w:p>
        </w:tc>
        <w:tc>
          <w:tcPr>
            <w:tcW w:w="12" w:type="pct"/>
            <w:tcBorders>
              <w:top w:val="nil" w:color="000000"/>
              <w:left w:val="nil" w:color="000000"/>
              <w:bottom w:val="single" w:color="000000"/>
              <w:right w:val="nil" w:color="000000"/>
            </w:tcBorders>
            <w:vAlign w:val="center"/>
          </w:tcPr>
          <w:p>
            <w:pPr>
              <w:spacing w:after="0"/>
              <w:jc w:val="center"/>
            </w:pPr>
            <w:r>
              <w:rPr>
                <w:rFonts w:ascii="Roboto" w:hAnsi="Roboto" w:eastAsia="Roboto" w:cs="Roboto"/>
                <w:sz w:val="20"/>
              </w:rPr>
              <w:t xml:space="preserve">0.0051</w:t>
            </w:r>
          </w:p>
        </w:tc>
      </w:tr>
      <w:tr>
        <w:tc>
          <w:tcPr>
            <w:gridSpan w:val="8"/>
            <w:tcBorders>
              <w:top w:val="single" w:color="000000"/>
              <w:left w:val="nil" w:color="000000"/>
              <w:bottom w:val="nil" w:color="000000"/>
              <w:right w:val="nil" w:color="000000"/>
            </w:tcBorders>
          </w:tcPr>
          <w:p>
            <w:pPr>
              <w:spacing w:after="0"/>
            </w:pPr>
            <w:r>
              <w:rPr>
                <w:rFonts w:ascii="Roboto" w:hAnsi="Roboto" w:eastAsia="Roboto" w:cs="Roboto"/>
                <w:i w:val="true"/>
                <w:sz w:val="18"/>
              </w:rPr>
              <w:t xml:space="preserve">Notas: La tabla reporta tres especificaciones del coeficiente de la asignación al tratamiento para evaluar la robustez al momento de recolección, estimadas sobre la panel balanceado en línea base (los productores con observación en ambas rondas; ver Figura 4.2-1). Todas las regresiones usan errores estándar agrupados a nivel de centro poblado. La especificación (i) Cruda incluye solo efectos fijos del estrato de aleatorización. La (ii) Ajustada agrega efectos fijos del mes de encuesta. La (iii) Ventana común replica (i) pero restringe la muestra a los meses con cobertura simultánea de control y tratamiento. La columna Δ = (i) − (ii) cuantifica el aporte del ajuste por momento de recolección al coeficiente. Si las tres especificaciones convergen, el efecto es robusto al momento de recolección. Significancia: *** p&lt;0.01, ** p&lt;0.05, * p&lt;0.10.</w:t>
            </w:r>
          </w:p>
        </w:tc>
      </w:tr>
    </w:tbl>
    <w:p>
      <w:r>
        <w:t/>
      </w:r>
    </w:p>
    <w:sectPr>
      <w:pgSz w:w="12240" w:h="15840" w:code="1"/>
      <w:pgMar w:top="1440" w:right="1440" w:bottom="1440" w:left="1440"/>
    </w:sectPr>
  </w:body>
</w:document>
</file>

<file path=word/settings.xml><?xml version="1.0" encoding="utf-8"?>
<w:settings xmlns:w="http://schemas.openxmlformats.org/wordprocessingml/2006/main"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