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Borders>
          <w:top w:val="single" w:color="000000" w:shadow="false"/>
          <w:left w:val="nil" w:color="000000" w:shadow="false"/>
          <w:bottom w:val="single" w:color="000000" w:shadow="false"/>
          <w:right w:val="nil" w:color="000000" w:shadow="false"/>
          <w:insideH w:val="nil" w:color="000000" w:shadow="false"/>
          <w:insideV w:val="nil" w:color="000000" w:shadow="false"/>
        </w:tblBorders>
      </w:tblPr>
      <w:tblGrid>
        <w:gridCol w:w="3120"/>
        <w:gridCol w:w="3120"/>
        <w:gridCol w:w="3120"/>
      </w:tblGrid>
      <w:tr>
        <w:tc>
          <w:tcPr>
            <w:gridSpan w:val="3"/>
            <w:tcBorders>
              <w:top w:val="nil" w:color="000000"/>
              <w:left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D2 — Estadísticas descriptivas del clúster</w:t>
            </w:r>
          </w:p>
        </w:tc>
      </w:tr>
      <w:tr>
        <w:tc>
          <w:tcPr>
            <w:tcW w:w="3120" w:type="dxa"/>
            <w:tcBorders>
              <w:bottom w:val="single" w:color="000000"/>
            </w:tcBorders>
            <w:shd w:val="clear" w:color="000000" w:fill="004E70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Variable</w:t>
            </w:r>
          </w:p>
        </w:tc>
        <w:tc>
          <w:tcPr>
            <w:tcW w:w="3120" w:type="dxa"/>
            <w:tcBorders>
              <w:bottom w:val="single" w:color="000000"/>
            </w:tcBorders>
            <w:shd w:val="clear" w:color="000000" w:fill="004E70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  <w:tc>
          <w:tcPr>
            <w:tcW w:w="3120" w:type="dxa"/>
            <w:tcBorders>
              <w:bottom w:val="single" w:color="000000"/>
            </w:tcBorders>
            <w:shd w:val="clear" w:color="000000" w:fill="004E70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</w:tr>
      <w:tr>
        <w:tc>
          <w:tcPr>
            <w:tcW w:w="3120" w:type="dxa"/>
            <w:tcBorders>
              <w:top w:val="single" w:color="000000"/>
            </w:tcBorders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Número de centros poblados</w:t>
            </w:r>
          </w:p>
        </w:tc>
        <w:tc>
          <w:tcPr>
            <w:tcW w:w="3120" w:type="dxa"/>
            <w:tcBorders>
              <w:top w:val="single" w:color="000000"/>
            </w:tcBorders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57</w:t>
            </w:r>
          </w:p>
        </w:tc>
        <w:tc>
          <w:tcPr>
            <w:tcW w:w="3120" w:type="dxa"/>
            <w:tcBorders>
              <w:top w:val="single" w:color="000000"/>
            </w:tcBorders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61</w:t>
            </w:r>
          </w:p>
        </w:tc>
      </w:tr>
      <w:tr>
        <w:tc>
          <w:tcPr>
            <w:tcW w:w="9360" w:type="dxa"/>
            <w:gridSpan w:val="3"/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20"/>
              </w:rPr>
              <w:t xml:space="preserve">Clústeres por cultivo a evaluar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Cítricos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17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20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Papa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19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19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Plátano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22</w:t>
            </w:r>
          </w:p>
        </w:tc>
      </w:tr>
      <w:tr>
        <w:tc>
          <w:tcPr>
            <w:tcW w:w="9360" w:type="dxa"/>
            <w:gridSpan w:val="3"/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20"/>
              </w:rPr>
              <w:t xml:space="preserve">ICC de las principales variables de resultado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BPA Riego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0.095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BPA Suelo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0.077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BPA Fertilizantes/Abonos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0.037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BPA Plaguicidas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0.062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BPA Control biológico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.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BPA Manejo integrado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0.670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BPA Inocuidad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0.241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Pilar Agro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0.085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Pilar Insumos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0.649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Pilar Inocuidad</w:t>
            </w:r>
          </w:p>
        </w:tc>
        <w:tc>
          <w:tcPr>
            <w:tcW w:w="6240" w:type="dxa"/>
            <w:gridSpan w:val="2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0.241</w:t>
            </w:r>
          </w:p>
        </w:tc>
      </w:tr>
      <w:tr>
        <w:tc>
          <w:tcPr>
            <w:tcW w:w="3120" w:type="dxa"/>
            <w:tcBorders>
              <w:bottom w:val="single" w:color="000000"/>
            </w:tcBorders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    Compuesto final</w:t>
            </w:r>
          </w:p>
        </w:tc>
        <w:tc>
          <w:tcPr>
            <w:tcW w:w="6240" w:type="dxa"/>
            <w:gridSpan w:val="2"/>
            <w:tcBorders>
              <w:bottom w:val="single" w:color="000000"/>
            </w:tcBorders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0.277</w:t>
            </w:r>
          </w:p>
        </w:tc>
      </w:tr>
      <w:tr>
        <w:tc>
          <w:tcPr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El panel superior reporta el número de centros poblados (clústeres) por brazo y por cultivo a evaluar. El panel inferior reporta el coeficiente de correlación intraclúster (ICC) estimado con un modelo lineal de efectos aleatorios a nivel de centro poblado sobre la panel balanceado en línea base (los productores con observación en ambas rondas; ver Figura 4.2-1). Las variables de resultado principales corresponden a la versión ENA.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