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668"/>
        <w:gridCol w:w="668"/>
        <w:gridCol w:w="668"/>
        <w:gridCol w:w="668"/>
        <w:gridCol w:w="668"/>
        <w:gridCol w:w="668"/>
        <w:gridCol w:w="668"/>
        <w:gridCol w:w="668"/>
        <w:gridCol w:w="668"/>
        <w:gridCol w:w="668"/>
        <w:gridCol w:w="668"/>
        <w:gridCol w:w="668"/>
        <w:gridCol w:w="668"/>
        <w:gridCol w:w="668"/>
      </w:tblGrid>
      <w:tr>
        <w:tc>
          <w:tcPr>
            <w:gridSpan w:val="14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rPr>
                <w:rFonts w:ascii="Roboto" w:hAnsi="Roboto" w:eastAsia="Roboto" w:cs="Roboto"/>
                <w:b w:val="true"/>
                <w:sz w:val="20"/>
              </w:rPr>
              <w:t xml:space="preserve">Tabla D3 — Estadísticas descriptivas y balance de productores por clúster</w:t>
            </w:r>
          </w:p>
        </w:tc>
      </w:tr>
      <w:tr>
        <w:tc>
          <w:tcPr>
            <w:tcW w:w="18" w:type="pct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shd w:val="solid" w:color="004E70" w:fill="004E70"/>
          </w:tcPr>
          <w:p>
            <w:pPr>
              <w:spacing w:after="0"/>
            </w:pPr>
          </w:p>
        </w:tc>
        <w:tc>
          <w:tcPr>
            <w:tcW w:w="30" w:type="dxa"/>
            <w:gridSpan w:val="5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shd w:val="solid" w:color="004E70" w:fill="004E70"/>
            <w:vAlign w:val="bottom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20"/>
              </w:rPr>
              <w:t xml:space="preserve">Control</w:t>
            </w:r>
          </w:p>
        </w:tc>
        <w:tc>
          <w:tcPr>
            <w:tcW w:w="30" w:type="dxa"/>
            <w:gridSpan w:val="5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shd w:val="solid" w:color="004E70" w:fill="004E70"/>
            <w:vAlign w:val="bottom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20"/>
              </w:rPr>
              <w:t xml:space="preserve">Tratamiento</w:t>
            </w:r>
          </w:p>
        </w:tc>
        <w:tc>
          <w:tcPr>
            <w:tcW w:w="22" w:type="dxa"/>
            <w:gridSpan w:val="3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shd w:val="solid" w:color="004E70" w:fill="004E70"/>
            <w:vAlign w:val="bottom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20"/>
              </w:rPr>
              <w:t xml:space="preserve">Balance</w:t>
            </w:r>
          </w:p>
        </w:tc>
      </w:tr>
      <w:tr>
        <w:tc>
          <w:tcPr>
            <w:tcW w:w="18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004E70" w:fill="004E70"/>
          </w:tcPr>
          <w:p>
            <w:pPr>
              <w:spacing w:after="0"/>
            </w:pPr>
          </w:p>
        </w:tc>
        <w:tc>
          <w:tcPr>
            <w:tcW w:w="10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004E70" w:fill="004E70"/>
            <w:vAlign w:val="bottom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20"/>
              </w:rPr>
              <w:t xml:space="preserve">Media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004E70" w:fill="004E70"/>
            <w:vAlign w:val="bottom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20"/>
              </w:rPr>
              <w:t xml:space="preserve">DE</w:t>
            </w:r>
          </w:p>
        </w:tc>
        <w:tc>
          <w:tcPr>
            <w:tcW w:w="5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004E70" w:fill="004E70"/>
            <w:vAlign w:val="bottom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20"/>
              </w:rPr>
              <w:t xml:space="preserve">Mediana</w:t>
            </w:r>
          </w:p>
        </w:tc>
        <w:tc>
          <w:tcPr>
            <w:tcW w:w="4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004E70" w:fill="004E70"/>
            <w:vAlign w:val="bottom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20"/>
              </w:rPr>
              <w:t xml:space="preserve">Mín.</w:t>
            </w:r>
          </w:p>
        </w:tc>
        <w:tc>
          <w:tcPr>
            <w:tcW w:w="5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004E70" w:fill="004E70"/>
            <w:vAlign w:val="bottom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20"/>
              </w:rPr>
              <w:t xml:space="preserve">Máx.</w:t>
            </w:r>
          </w:p>
        </w:tc>
        <w:tc>
          <w:tcPr>
            <w:tcW w:w="10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004E70" w:fill="004E70"/>
            <w:vAlign w:val="bottom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20"/>
              </w:rPr>
              <w:t xml:space="preserve">Media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004E70" w:fill="004E70"/>
            <w:vAlign w:val="bottom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20"/>
              </w:rPr>
              <w:t xml:space="preserve">DE</w:t>
            </w:r>
          </w:p>
        </w:tc>
        <w:tc>
          <w:tcPr>
            <w:tcW w:w="5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004E70" w:fill="004E70"/>
            <w:vAlign w:val="bottom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20"/>
              </w:rPr>
              <w:t xml:space="preserve">Mediana</w:t>
            </w:r>
          </w:p>
        </w:tc>
        <w:tc>
          <w:tcPr>
            <w:tcW w:w="4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004E70" w:fill="004E70"/>
            <w:vAlign w:val="bottom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20"/>
              </w:rPr>
              <w:t xml:space="preserve">Mín.</w:t>
            </w:r>
          </w:p>
        </w:tc>
        <w:tc>
          <w:tcPr>
            <w:tcW w:w="5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004E70" w:fill="004E70"/>
            <w:vAlign w:val="bottom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20"/>
              </w:rPr>
              <w:t xml:space="preserve">Máx.</w:t>
            </w:r>
          </w:p>
        </w:tc>
        <w:tc>
          <w:tcPr>
            <w:tcW w:w="7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004E70" w:fill="004E70"/>
            <w:vAlign w:val="bottom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20"/>
              </w:rPr>
              <w:t xml:space="preserve">Dif.</w:t>
            </w:r>
          </w:p>
        </w:tc>
        <w:tc>
          <w:tcPr>
            <w:tcW w:w="7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004E70" w:fill="004E70"/>
            <w:vAlign w:val="bottom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20"/>
              </w:rPr>
              <w:t xml:space="preserve">SMD</w:t>
            </w:r>
          </w:p>
        </w:tc>
        <w:tc>
          <w:tcPr>
            <w:tcW w:w="8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004E70" w:fill="004E70"/>
            <w:vAlign w:val="bottom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20"/>
              </w:rPr>
              <w:t xml:space="preserve">p-valor</w:t>
            </w:r>
          </w:p>
        </w:tc>
      </w:tr>
      <w:tr>
        <w:tc>
          <w:tcPr>
            <w:tcW w:w="18" w:type="pct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Productores por clúster</w:t>
            </w:r>
          </w:p>
        </w:tc>
        <w:tc>
          <w:tcPr>
            <w:tcW w:w="10" w:type="pct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11.46</w:t>
            </w:r>
          </w:p>
        </w:tc>
        <w:tc>
          <w:tcPr>
            <w:tcW w:w="6" w:type="pct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4.38</w:t>
            </w:r>
          </w:p>
        </w:tc>
        <w:tc>
          <w:tcPr>
            <w:tcW w:w="5" w:type="pct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12.00</w:t>
            </w:r>
          </w:p>
        </w:tc>
        <w:tc>
          <w:tcPr>
            <w:tcW w:w="4" w:type="pct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1.00</w:t>
            </w:r>
          </w:p>
        </w:tc>
        <w:tc>
          <w:tcPr>
            <w:tcW w:w="5" w:type="pct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16.00</w:t>
            </w:r>
          </w:p>
        </w:tc>
        <w:tc>
          <w:tcPr>
            <w:tcW w:w="10" w:type="pct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10.31</w:t>
            </w:r>
          </w:p>
        </w:tc>
        <w:tc>
          <w:tcPr>
            <w:tcW w:w="6" w:type="pct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5.03</w:t>
            </w:r>
          </w:p>
        </w:tc>
        <w:tc>
          <w:tcPr>
            <w:tcW w:w="5" w:type="pct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11.00</w:t>
            </w:r>
          </w:p>
        </w:tc>
        <w:tc>
          <w:tcPr>
            <w:tcW w:w="4" w:type="pct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1.00</w:t>
            </w:r>
          </w:p>
        </w:tc>
        <w:tc>
          <w:tcPr>
            <w:tcW w:w="5" w:type="pct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16.00</w:t>
            </w:r>
          </w:p>
        </w:tc>
        <w:tc>
          <w:tcPr>
            <w:tcW w:w="7" w:type="pct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-0.789</w:t>
            </w:r>
          </w:p>
        </w:tc>
        <w:tc>
          <w:tcPr>
            <w:tcW w:w="7" w:type="pct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-0.167</w:t>
            </w:r>
          </w:p>
        </w:tc>
        <w:tc>
          <w:tcPr>
            <w:tcW w:w="8" w:type="pct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0.299</w:t>
            </w:r>
          </w:p>
        </w:tc>
      </w:tr>
      <w:tr>
        <w:tc>
          <w:tcPr>
            <w:gridSpan w:val="14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  <w:r>
              <w:rPr>
                <w:rFonts w:ascii="Roboto" w:hAnsi="Roboto" w:eastAsia="Roboto" w:cs="Roboto"/>
                <w:i w:val="true"/>
                <w:sz w:val="18"/>
              </w:rPr>
              <w:t xml:space="preserve">Notas: La tabla reporta estadísticos descriptivos del número de productores por centro poblado, calculados a nivel de clúster (una observación por centro poblado) sobre la panel balanceado en línea base (los productores con observación en ambas rondas; ver Figura 4.2-1). La columna 'Dif.' corresponde al coeficiente de una regresión del número de productores sobre el indicador de tratamiento, con efectos fijos del estrato de aleatorización y errores estándar robustos. La columna 'SMD' reporta la diferencia estandarizada de medias: la diferencia entre brazos dividida entre la desviación estándar combinada de ambos brazos (raíz cuadrada del promedio simple de las varianzas en control y tratamiento).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4="http://schemas.microsoft.com/office/word/2010/wordml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