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gridSpan w:val="8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true"/>
                <w:sz w:val="20"/>
              </w:rPr>
              <w:t xml:space="preserve">Tabla B.5-2 — Balance en variables resultado en línea base (versión ENA)</w:t>
            </w:r>
          </w:p>
        </w:tc>
      </w:tr>
      <w:tr>
        <w:tc>
          <w:tcPr>
            <w:tcW w:w="38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</w:tcPr>
          <w:p>
            <w:pPr>
              <w:spacing w:after="0"/>
            </w:pPr>
          </w:p>
        </w:tc>
        <w:tc>
          <w:tcPr>
            <w:tcW w:w="18" w:type="dxa"/>
            <w:gridSpan w:val="2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Control</w:t>
            </w:r>
          </w:p>
        </w:tc>
        <w:tc>
          <w:tcPr>
            <w:tcW w:w="18" w:type="dxa"/>
            <w:gridSpan w:val="2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Tratamiento</w:t>
            </w:r>
          </w:p>
        </w:tc>
        <w:tc>
          <w:tcPr>
            <w:tcW w:w="26" w:type="dxa"/>
            <w:gridSpan w:val="3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Balance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</w:tcPr>
          <w:p>
            <w:pPr>
              <w:spacing w:after="0"/>
            </w:pPr>
          </w:p>
        </w:tc>
        <w:tc>
          <w:tcPr>
            <w:tcW w:w="12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Media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DE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Media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DE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Dif.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SMD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color w:val="FFFFFF"/>
                <w:sz w:val="20"/>
              </w:rPr>
              <w:t xml:space="preserve">p-valor</w:t>
            </w:r>
          </w:p>
        </w:tc>
      </w:tr>
      <w:tr>
        <w:tc>
          <w:tcPr>
            <w:tcW w:w="38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BPA Riego</w:t>
            </w:r>
          </w:p>
        </w:tc>
        <w:tc>
          <w:tcPr>
            <w:tcW w:w="12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1.30</w:t>
            </w:r>
          </w:p>
        </w:tc>
        <w:tc>
          <w:tcPr>
            <w:tcW w:w="6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(11.40)</w:t>
            </w:r>
          </w:p>
        </w:tc>
        <w:tc>
          <w:tcPr>
            <w:tcW w:w="12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4.85</w:t>
            </w:r>
          </w:p>
        </w:tc>
        <w:tc>
          <w:tcPr>
            <w:tcW w:w="6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(21.60)</w:t>
            </w:r>
          </w:p>
        </w:tc>
        <w:tc>
          <w:tcPr>
            <w:tcW w:w="8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4.88</w:t>
            </w:r>
          </w:p>
        </w:tc>
        <w:tc>
          <w:tcPr>
            <w:tcW w:w="8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0.283</w:t>
            </w:r>
          </w:p>
        </w:tc>
        <w:tc>
          <w:tcPr>
            <w:tcW w:w="10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0.034**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BPA Suelo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1.38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(11.67)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1.91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(13.69)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0.97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0.076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0.235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BPA Fertilizantes/Abonos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0.61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(7.81)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0.48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(6.90)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-0.48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-0.065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0.234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BPA Plaguicidas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0.31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(5.53)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0.64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(7.96)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0.04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0.006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0.915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BPA Control biológico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0.00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(0.00)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0.00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(0.00)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0.00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.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.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BPA Manejo integrado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5.67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(23.14)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8.27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(27.56)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2.59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0.102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0.069*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BPA Inocuidad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21.54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(41.14)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33.33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(47.18)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9.05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0.204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0.007***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Pilar Agro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1.53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(12.29)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2.54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(15.76)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1.47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0.104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0.135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Pilar Insumos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6.28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(24.28)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8.59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(28.04)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2.10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0.080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0.102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Pilar Inocuidad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21.54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(41.14)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33.33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(47.18)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9.05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0.204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0.007***</w:t>
            </w:r>
          </w:p>
        </w:tc>
      </w:tr>
      <w:tr>
        <w:tc>
          <w:tcPr>
            <w:tcW w:w="38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Compuesto final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1.69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(12.91)</w:t>
            </w:r>
          </w:p>
        </w:tc>
        <w:tc>
          <w:tcPr>
            <w:tcW w:w="12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6.22</w:t>
            </w:r>
          </w:p>
        </w:tc>
        <w:tc>
          <w:tcPr>
            <w:tcW w:w="6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(24.17)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3.75</w:t>
            </w:r>
          </w:p>
        </w:tc>
        <w:tc>
          <w:tcPr>
            <w:tcW w:w="8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0.193</w:t>
            </w:r>
          </w:p>
        </w:tc>
        <w:tc>
          <w:tcPr>
            <w:tcW w:w="10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0.008***</w:t>
            </w:r>
          </w:p>
        </w:tc>
      </w:tr>
      <w:tr>
        <w:tc>
          <w:tcPr>
            <w:gridSpan w:val="8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i w:val="true"/>
                <w:sz w:val="18"/>
              </w:rPr>
              <w:t xml:space="preserve">Notas: La tabla reporta el balance preintervención de las variables de resultado principales medidas sobre la panel balanceado en línea base (los productores con observación en ambas rondas; ver Figura 4.2-1) en su versión ENA. Todas las variables de resultado son binarias y se reportan en escala 0-100 (porcentaje). La diferencia, la diferencia estandarizada de medias (SMD) y el p-valor provienen de la misma especificación que la Tabla B.5-1 (regresión sobre el indicador de tratamiento con efectos fijos del estrato de aleatorización y del mes de encuesta, y errores estándar agrupados a nivel de centro poblado). La SMD es la diferencia entre brazos dividida entre la desviación estándar combinada de ambos brazos. Significancia: *** p&lt;0.01, ** p&lt;0.05, * p&lt;0.10. Nota técnica sobre BPA Riego: el desbalance no depende de restringir al panel. Sobre los 209 productores con riego tecnificado en línea base, sin excluir a quienes no fueron reencuestados, la diferencia es de  4.6 puntos porcentuales (SMD = 0.28; p = 0.035), prácticamente idéntica a la reportada arriba sobre el panel.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