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gridSpan w:val="8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true"/>
                <w:sz w:val="20"/>
              </w:rPr>
              <w:t xml:space="preserve">Tabla B.5-3 — Balance en el momento de recolección</w:t>
            </w:r>
          </w:p>
        </w:tc>
      </w:tr>
      <w:tr>
        <w:tc>
          <w:tcPr>
            <w:tcW w:w="38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004E70" w:fill="004E70"/>
          </w:tcPr>
          <w:p>
            <w:pPr>
              <w:spacing w:after="0"/>
            </w:pPr>
          </w:p>
        </w:tc>
        <w:tc>
          <w:tcPr>
            <w:tcW w:w="18" w:type="dxa"/>
            <w:gridSpan w:val="2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color w:val="FFFFFF"/>
                <w:sz w:val="20"/>
              </w:rPr>
              <w:t xml:space="preserve">Control</w:t>
            </w:r>
          </w:p>
        </w:tc>
        <w:tc>
          <w:tcPr>
            <w:tcW w:w="18" w:type="dxa"/>
            <w:gridSpan w:val="2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color w:val="FFFFFF"/>
                <w:sz w:val="20"/>
              </w:rPr>
              <w:t xml:space="preserve">Tratamiento</w:t>
            </w:r>
          </w:p>
        </w:tc>
        <w:tc>
          <w:tcPr>
            <w:tcW w:w="26" w:type="dxa"/>
            <w:gridSpan w:val="3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color w:val="FFFFFF"/>
                <w:sz w:val="20"/>
              </w:rPr>
              <w:t xml:space="preserve">Balance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</w:tcPr>
          <w:p>
            <w:pPr>
              <w:spacing w:after="0"/>
            </w:pPr>
          </w:p>
        </w:tc>
        <w:tc>
          <w:tcPr>
            <w:tcW w:w="12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color w:val="FFFFFF"/>
                <w:sz w:val="20"/>
              </w:rPr>
              <w:t xml:space="preserve">Media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color w:val="FFFFFF"/>
                <w:sz w:val="20"/>
              </w:rPr>
              <w:t xml:space="preserve">DE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color w:val="FFFFFF"/>
                <w:sz w:val="20"/>
              </w:rPr>
              <w:t xml:space="preserve">Media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color w:val="FFFFFF"/>
                <w:sz w:val="20"/>
              </w:rPr>
              <w:t xml:space="preserve">DE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color w:val="FFFFFF"/>
                <w:sz w:val="20"/>
              </w:rPr>
              <w:t xml:space="preserve">Dif.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color w:val="FFFFFF"/>
                <w:sz w:val="20"/>
              </w:rPr>
              <w:t xml:space="preserve">SMD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color w:val="FFFFFF"/>
                <w:sz w:val="20"/>
              </w:rPr>
              <w:t xml:space="preserve">p-valor</w:t>
            </w:r>
          </w:p>
        </w:tc>
      </w:tr>
      <w:tr>
        <w:tc>
          <w:tcPr>
            <w:tcW w:w="38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Días desde inicio del trabajo de campo</w:t>
            </w:r>
          </w:p>
        </w:tc>
        <w:tc>
          <w:tcPr>
            <w:tcW w:w="12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29.48</w:t>
            </w:r>
          </w:p>
        </w:tc>
        <w:tc>
          <w:tcPr>
            <w:tcW w:w="6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(13.87)</w:t>
            </w:r>
          </w:p>
        </w:tc>
        <w:tc>
          <w:tcPr>
            <w:tcW w:w="12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25.14</w:t>
            </w:r>
          </w:p>
        </w:tc>
        <w:tc>
          <w:tcPr>
            <w:tcW w:w="6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(14.54)</w:t>
            </w:r>
          </w:p>
        </w:tc>
        <w:tc>
          <w:tcPr>
            <w:tcW w:w="8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-0.46</w:t>
            </w:r>
          </w:p>
        </w:tc>
        <w:tc>
          <w:tcPr>
            <w:tcW w:w="8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-0.033</w:t>
            </w:r>
          </w:p>
        </w:tc>
        <w:tc>
          <w:tcPr>
            <w:tcW w:w="10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0.701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% encuestado antes de la fecha mediana global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46.86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(49.94)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58.51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(49.31)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-0.64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-0.013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0.905</w:t>
            </w:r>
          </w:p>
        </w:tc>
      </w:tr>
      <w:tr>
        <w:tc>
          <w:tcPr>
            <w:gridSpan w:val="8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Roboto" w:hAnsi="Roboto" w:eastAsia="Roboto" w:cs="Roboto"/>
                <w:i w:val="true"/>
                <w:sz w:val="18"/>
              </w:rPr>
              <w:t xml:space="preserve">Notas: La tabla reporta indicadores del momento de recolección de cada encuesta basal, sobre la panel balanceado en línea base (los productores con observación en ambas rondas; ver Figura 4.2-1). La variable 'Días desde inicio del trabajo de campo' es continua y la variable '% encuestado antes de la fecha mediana global' es binaria reportada en escala 0-100. La diferencia, la diferencia estandarizada de medias (SMD) y el p-valor provienen de la misma especificación que la Tabla B.5-1 (regresión sobre el indicador de tratamiento con efectos fijos del estrato de aleatorización y del mes de encuesta, y errores estándar agrupados a nivel de centro poblado). La SMD es la diferencia entre brazos dividida entre la desviación estándar combinada de ambos brazos. Fecha mediana de encuesta — Control: 26 Oct 2021 · Tratamiento: 20 Oct 2021. Significancia: *** p&lt;0.01, ** p&lt;0.05, * p&lt;0.10.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