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gridSpan w:val="3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b w:val="true"/>
                <w:sz w:val="20"/>
              </w:rPr>
              <w:t xml:space="preserve">Tabla B.5-4 — Distribución de tamaño de clúster en línea base</w:t>
            </w:r>
          </w:p>
        </w:tc>
      </w:tr>
      <w:tr>
        <w:tc>
          <w:tcPr>
            <w:tcW w:w="50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</w:tcPr>
          <w:p>
            <w:pPr>
              <w:spacing w:after="0"/>
            </w:pPr>
          </w:p>
        </w:tc>
        <w:tc>
          <w:tcPr>
            <w:tcW w:w="2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Control</w:t>
            </w:r>
          </w:p>
        </w:tc>
        <w:tc>
          <w:tcPr>
            <w:tcW w:w="25" w:type="pct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shd w:val="solid" w:color="004E70" w:fill="004E70"/>
            <w:vAlign w:val="bottom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b w:val="true"/>
                <w:color w:val="FFFFFF"/>
                <w:sz w:val="20"/>
              </w:rPr>
              <w:t xml:space="preserve">Tratamiento</w:t>
            </w:r>
          </w:p>
        </w:tc>
      </w:tr>
      <w:tr>
        <w:tc>
          <w:tcPr>
            <w:tcW w:w="50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20"/>
              </w:rPr>
              <w:t xml:space="preserve">Distribución del nº de productores por clúster</w:t>
            </w:r>
          </w:p>
        </w:tc>
        <w:tc>
          <w:tcPr>
            <w:tcW w:w="25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  <w:tc>
          <w:tcPr>
            <w:tcW w:w="25" w:type="pct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1-4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13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5-9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10-14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18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15-19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23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19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Tamaño 20-25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sz w:val="20"/>
              </w:rPr>
              <w:t xml:space="preserve">Resúmenes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shd w:val="solid" w:color="D3D2D1" w:fill="D3D2D1"/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b w:val="true"/>
                <w:i w:val="true"/>
                <w:color w:val="D3D2D1"/>
                <w:sz w:val="20"/>
              </w:rPr>
              <w:t xml:space="preserve">.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Total clústeres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57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61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Media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10.3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Desviación estándar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4.4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5.0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Mediana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12.0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11.0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Percentil 25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8.0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6.0</w:t>
            </w:r>
          </w:p>
        </w:tc>
      </w:tr>
      <w:tr>
        <w:tc>
          <w:tcPr>
            <w:tcW w:w="50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left"/>
            </w:pPr>
            <w:r>
              <w:rPr>
                <w:rFonts w:ascii="Roboto" w:hAnsi="Roboto" w:eastAsia="Roboto" w:cs="Roboto"/>
                <w:sz w:val="20"/>
              </w:rPr>
              <w:t xml:space="preserve">Percentil 75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15.0</w:t>
            </w:r>
          </w:p>
        </w:tc>
        <w:tc>
          <w:tcPr>
            <w:tcW w:w="25" w:type="pct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Roboto" w:hAnsi="Roboto" w:eastAsia="Roboto" w:cs="Roboto"/>
                <w:sz w:val="20"/>
              </w:rPr>
              <w:t xml:space="preserve">15.0</w:t>
            </w:r>
          </w:p>
        </w:tc>
      </w:tr>
      <w:tr>
        <w:tc>
          <w:tcPr>
            <w:gridSpan w:val="3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rPr>
                <w:rFonts w:ascii="Roboto" w:hAnsi="Roboto" w:eastAsia="Roboto" w:cs="Roboto"/>
                <w:i w:val="true"/>
                <w:sz w:val="18"/>
              </w:rPr>
              <w:t xml:space="preserve">Notas: La tabla reporta la distribución del número de productores observados por centro poblado sobre la panel balanceado en línea base (los productores con observación en ambas rondas; ver Figura 4.2-1). Test de Kolmogorov-Smirnov de igualdad de distribuciones entre brazos: D = 0.150, p = 0.442 (p corregido por la naturaleza discreta de la distribución).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