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tbl>
      <w:tblPr>
        <w:tblStyle w:val="TableGrid"/>
      </w:tblPr>
      <w:tblGrid>
        <w:gridCol w:w="1560"/>
        <w:gridCol w:w="1560"/>
        <w:gridCol w:w="1560"/>
        <w:gridCol w:w="1560"/>
        <w:gridCol w:w="1560"/>
        <w:gridCol w:w="1560"/>
      </w:tblGrid>
      <w:tr>
        <w:tc>
          <w:tcPr>
            <w:gridSpan w:val="6"/>
            <w:tcBorders>
              <w:top w:val="nil" w:color="000000"/>
              <w:left w:val="nil" w:color="000000"/>
              <w:bottom w:val="single" w:color="000000"/>
              <w:right w:val="nil" w:color="000000"/>
            </w:tcBorders>
          </w:tcPr>
          <w:p>
            <w:pPr>
              <w:spacing w:after="0"/>
            </w:pPr>
            <w:r>
              <w:rPr>
                <w:rFonts w:ascii="Roboto" w:hAnsi="Roboto" w:eastAsia="Roboto" w:cs="Roboto"/>
                <w:b w:val="true"/>
                <w:sz w:val="20"/>
              </w:rPr>
              <w:t xml:space="preserve">Tabla 6.2-1 — Atrición a nivel productor (línea base a línea de seguimiento)</w:t>
            </w:r>
          </w:p>
        </w:tc>
      </w:tr>
      <w:tr>
        <w:tc>
          <w:tcPr>
            <w:tcW w:w="40" w:type="pct"/>
            <w:tcBorders>
              <w:top w:val="single" w:color="000000"/>
              <w:left w:val="nil" w:color="000000"/>
              <w:bottom w:val="nil" w:color="000000"/>
              <w:right w:val="nil" w:color="000000"/>
            </w:tcBorders>
            <w:shd w:val="solid" w:color="004E70" w:fill="004E70"/>
          </w:tcPr>
          <w:p>
            <w:pPr>
              <w:spacing w:after="0"/>
            </w:pPr>
          </w:p>
        </w:tc>
        <w:tc>
          <w:tcPr>
            <w:tcW w:w="12" w:type="pct"/>
            <w:tcBorders>
              <w:top w:val="single" w:color="000000"/>
              <w:left w:val="nil" w:color="000000"/>
              <w:bottom w:val="nil"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Control</w:t>
            </w:r>
          </w:p>
        </w:tc>
        <w:tc>
          <w:tcPr>
            <w:tcW w:w="12" w:type="pct"/>
            <w:tcBorders>
              <w:top w:val="single" w:color="000000"/>
              <w:left w:val="nil" w:color="000000"/>
              <w:bottom w:val="nil"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Tratamiento</w:t>
            </w:r>
          </w:p>
        </w:tc>
        <w:tc>
          <w:tcPr>
            <w:tcW w:w="12" w:type="pct"/>
            <w:tcBorders>
              <w:top w:val="single" w:color="000000"/>
              <w:left w:val="nil" w:color="000000"/>
              <w:bottom w:val="nil"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Total</w:t>
            </w:r>
          </w:p>
        </w:tc>
        <w:tc>
          <w:tcPr>
            <w:tcW w:w="24" w:type="dxa"/>
            <w:gridSpan w:val="2"/>
            <w:tcBorders>
              <w:top w:val="single" w:color="000000"/>
              <w:left w:val="nil" w:color="000000"/>
              <w:bottom w:val="nil"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Balance</w:t>
            </w:r>
          </w:p>
        </w:tc>
      </w:tr>
      <w:tr>
        <w:tc>
          <w:tcPr>
            <w:tcW w:w="40" w:type="pct"/>
            <w:tcBorders>
              <w:top w:val="nil" w:color="000000"/>
              <w:left w:val="nil" w:color="000000"/>
              <w:bottom w:val="single" w:color="000000"/>
              <w:right w:val="nil" w:color="000000"/>
            </w:tcBorders>
            <w:shd w:val="solid" w:color="004E70" w:fill="004E70"/>
          </w:tcPr>
          <w:p>
            <w:pPr>
              <w:spacing w:after="0"/>
            </w:pPr>
          </w:p>
        </w:tc>
        <w:tc>
          <w:tcPr>
            <w:tcW w:w="12" w:type="pct"/>
            <w:tcBorders>
              <w:top w:val="nil" w:color="000000"/>
              <w:left w:val="nil" w:color="000000"/>
              <w:bottom w:val="single" w:color="000000"/>
              <w:right w:val="nil" w:color="000000"/>
            </w:tcBorders>
          </w:tcPr>
          <w:p>
            <w:pPr>
              <w:spacing w:after="0"/>
            </w:pPr>
          </w:p>
        </w:tc>
        <w:tc>
          <w:tcPr>
            <w:tcW w:w="12" w:type="pct"/>
            <w:tcBorders>
              <w:top w:val="nil" w:color="000000"/>
              <w:left w:val="nil" w:color="000000"/>
              <w:bottom w:val="single" w:color="000000"/>
              <w:right w:val="nil" w:color="000000"/>
            </w:tcBorders>
          </w:tcPr>
          <w:p>
            <w:pPr>
              <w:spacing w:after="0"/>
            </w:pPr>
          </w:p>
        </w:tc>
        <w:tc>
          <w:tcPr>
            <w:tcW w:w="12" w:type="pct"/>
            <w:tcBorders>
              <w:top w:val="nil" w:color="000000"/>
              <w:left w:val="nil" w:color="000000"/>
              <w:bottom w:val="single" w:color="000000"/>
              <w:right w:val="nil" w:color="000000"/>
            </w:tcBorders>
          </w:tcPr>
          <w:p>
            <w:pPr>
              <w:spacing w:after="0"/>
            </w:pPr>
          </w:p>
        </w:tc>
        <w:tc>
          <w:tcPr>
            <w:tcW w:w="12" w:type="pct"/>
            <w:tcBorders>
              <w:top w:val="nil" w:color="000000"/>
              <w:left w:val="nil" w:color="000000"/>
              <w:bottom w:val="single"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Dif. (pp)</w:t>
            </w:r>
          </w:p>
        </w:tc>
        <w:tc>
          <w:tcPr>
            <w:tcW w:w="12" w:type="pct"/>
            <w:tcBorders>
              <w:top w:val="nil" w:color="000000"/>
              <w:left w:val="nil" w:color="000000"/>
              <w:bottom w:val="single" w:color="000000"/>
              <w:right w:val="nil" w:color="000000"/>
            </w:tcBorders>
            <w:shd w:val="solid" w:color="004E70" w:fill="004E70"/>
            <w:vAlign w:val="bottom"/>
          </w:tcPr>
          <w:p>
            <w:pPr>
              <w:spacing w:after="0"/>
              <w:jc w:val="center"/>
            </w:pPr>
            <w:r>
              <w:rPr>
                <w:rFonts w:ascii="Roboto" w:hAnsi="Roboto" w:eastAsia="Roboto" w:cs="Roboto"/>
                <w:b w:val="true"/>
                <w:color w:val="FFFFFF"/>
                <w:sz w:val="20"/>
              </w:rPr>
              <w:t xml:space="preserve">p-valor</w:t>
            </w:r>
          </w:p>
        </w:tc>
      </w:tr>
      <w:tr>
        <w:tc>
          <w:tcPr>
            <w:tcW w:w="40" w:type="pct"/>
            <w:tcBorders>
              <w:top w:val="single"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Productores con línea base (n)</w:t>
            </w:r>
          </w:p>
        </w:tc>
        <w:tc>
          <w:tcPr>
            <w:tcW w:w="12"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754</w:t>
            </w:r>
          </w:p>
        </w:tc>
        <w:tc>
          <w:tcPr>
            <w:tcW w:w="12"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691</w:t>
            </w:r>
          </w:p>
        </w:tc>
        <w:tc>
          <w:tcPr>
            <w:tcW w:w="12" w:type="pct"/>
            <w:tcBorders>
              <w:top w:val="single"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1445</w:t>
            </w:r>
          </w:p>
        </w:tc>
        <w:tc>
          <w:tcPr>
            <w:tcW w:w="12" w:type="pct"/>
            <w:tcBorders>
              <w:top w:val="single" w:color="000000"/>
              <w:left w:val="nil" w:color="000000"/>
              <w:bottom w:val="nil" w:color="000000"/>
              <w:right w:val="nil" w:color="000000"/>
            </w:tcBorders>
          </w:tcPr>
          <w:p>
            <w:pPr>
              <w:spacing w:after="0"/>
            </w:pPr>
          </w:p>
        </w:tc>
        <w:tc>
          <w:tcPr>
            <w:tcW w:w="12" w:type="pct"/>
            <w:tcBorders>
              <w:top w:val="single" w:color="000000"/>
              <w:left w:val="nil" w:color="000000"/>
              <w:bottom w:val="nil" w:color="000000"/>
              <w:right w:val="nil" w:color="000000"/>
            </w:tcBorders>
          </w:tcPr>
          <w:p>
            <w:pPr>
              <w:spacing w:after="0"/>
            </w:pPr>
          </w:p>
        </w:tc>
      </w:tr>
      <w:tr>
        <w:tc>
          <w:tcPr>
            <w:tcW w:w="40" w:type="pct"/>
            <w:tcBorders>
              <w:top w:val="nil" w:color="000000"/>
              <w:left w:val="nil" w:color="000000"/>
              <w:bottom w:val="nil" w:color="000000"/>
              <w:right w:val="nil" w:color="000000"/>
            </w:tcBorders>
            <w:vAlign w:val="center"/>
          </w:tcPr>
          <w:p>
            <w:pPr>
              <w:spacing w:after="0"/>
              <w:jc w:val="left"/>
            </w:pPr>
            <w:r>
              <w:rPr>
                <w:rFonts w:ascii="Roboto" w:hAnsi="Roboto" w:eastAsia="Roboto" w:cs="Roboto"/>
                <w:sz w:val="20"/>
              </w:rPr>
              <w:t xml:space="preserve">Línea de seguimiento completada (%)</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86.6</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91.0</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88.7</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3.5</w:t>
            </w:r>
          </w:p>
        </w:tc>
        <w:tc>
          <w:tcPr>
            <w:tcW w:w="12" w:type="pct"/>
            <w:tcBorders>
              <w:top w:val="nil" w:color="000000"/>
              <w:left w:val="nil" w:color="000000"/>
              <w:bottom w:val="nil" w:color="000000"/>
              <w:right w:val="nil" w:color="000000"/>
            </w:tcBorders>
            <w:vAlign w:val="center"/>
          </w:tcPr>
          <w:p>
            <w:pPr>
              <w:spacing w:after="0"/>
              <w:jc w:val="center"/>
            </w:pPr>
            <w:r>
              <w:rPr>
                <w:rFonts w:ascii="Roboto" w:hAnsi="Roboto" w:eastAsia="Roboto" w:cs="Roboto"/>
                <w:sz w:val="20"/>
              </w:rPr>
              <w:t xml:space="preserve">0.274</w:t>
            </w:r>
          </w:p>
        </w:tc>
      </w:tr>
      <w:tr>
        <w:tc>
          <w:tcPr>
            <w:tcW w:w="40" w:type="pct"/>
            <w:tcBorders>
              <w:top w:val="nil" w:color="000000"/>
              <w:left w:val="nil" w:color="000000"/>
              <w:bottom w:val="single" w:color="000000"/>
              <w:right w:val="nil" w:color="000000"/>
            </w:tcBorders>
            <w:vAlign w:val="center"/>
          </w:tcPr>
          <w:p>
            <w:pPr>
              <w:spacing w:after="0"/>
              <w:jc w:val="left"/>
            </w:pPr>
            <w:r>
              <w:rPr>
                <w:rFonts w:ascii="Roboto" w:hAnsi="Roboto" w:eastAsia="Roboto" w:cs="Roboto"/>
                <w:sz w:val="20"/>
              </w:rPr>
              <w:t xml:space="preserve">Atrición a nivel productor — línea base → línea de seguimiento (%)</w:t>
            </w:r>
          </w:p>
        </w:tc>
        <w:tc>
          <w:tcPr>
            <w:tcW w:w="12"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13.4</w:t>
            </w:r>
          </w:p>
        </w:tc>
        <w:tc>
          <w:tcPr>
            <w:tcW w:w="12"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9.0</w:t>
            </w:r>
          </w:p>
        </w:tc>
        <w:tc>
          <w:tcPr>
            <w:tcW w:w="12"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11.3</w:t>
            </w:r>
          </w:p>
        </w:tc>
        <w:tc>
          <w:tcPr>
            <w:tcW w:w="12"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-3.5</w:t>
            </w:r>
          </w:p>
        </w:tc>
        <w:tc>
          <w:tcPr>
            <w:tcW w:w="12" w:type="pct"/>
            <w:tcBorders>
              <w:top w:val="nil" w:color="000000"/>
              <w:left w:val="nil" w:color="000000"/>
              <w:bottom w:val="single" w:color="000000"/>
              <w:right w:val="nil" w:color="000000"/>
            </w:tcBorders>
            <w:vAlign w:val="center"/>
          </w:tcPr>
          <w:p>
            <w:pPr>
              <w:spacing w:after="0"/>
              <w:jc w:val="center"/>
            </w:pPr>
            <w:r>
              <w:rPr>
                <w:rFonts w:ascii="Roboto" w:hAnsi="Roboto" w:eastAsia="Roboto" w:cs="Roboto"/>
                <w:sz w:val="20"/>
              </w:rPr>
              <w:t xml:space="preserve">0.274</w:t>
            </w:r>
          </w:p>
        </w:tc>
      </w:tr>
      <w:tr>
        <w:tc>
          <w:tcPr>
            <w:gridSpan w:val="6"/>
            <w:tcBorders>
              <w:top w:val="single" w:color="000000"/>
              <w:left w:val="nil" w:color="000000"/>
              <w:bottom w:val="nil" w:color="000000"/>
              <w:right w:val="nil" w:color="000000"/>
            </w:tcBorders>
          </w:tcPr>
          <w:p>
            <w:pPr>
              <w:spacing w:after="0"/>
            </w:pPr>
            <w:r>
              <w:rPr>
                <w:rFonts w:ascii="Roboto" w:hAnsi="Roboto" w:eastAsia="Roboto" w:cs="Roboto"/>
                <w:i w:val="true"/>
                <w:sz w:val="18"/>
              </w:rPr>
              <w:t xml:space="preserve">Notas: La tabla reporta la atrición a nivel productor observada entre línea base y línea de seguimiento — productores con encuesta de línea base que no fueron alcanzados por la encuesta de línea de seguimiento. Esta atrición es conceptualmente distinta de la atrición a nivel clúster reportada en la Figura 4.2-1 (centros poblados aleatorizados sin línea base, excluidos antes del análisis). El denominador corresponde a los productores con encuesta de línea base completa (muestra analítica). El diferencial entre brazos se estima por regresión del indicador de línea de seguimiento completado sobre el indicador de tratamiento, con efectos fijos del estrato de aleatorización y errores estándar agrupados a nivel de centro poblado. No se reporta Panel A (Cobertura de la línea base) porque no se dispuso de un padrón censal previo a la línea base. Significancia: *** p&lt;0.01, ** p&lt;0.05, * p&lt;0.10.</w:t>
            </w:r>
          </w:p>
        </w:tc>
      </w:tr>
    </w:tbl>
    <w:p>
      <w:r>
        <w:t/>
      </w:r>
    </w:p>
    <w:sectPr>
      <w:pgSz w:w="12240" w:h="15840" w:code="1"/>
      <w:pgMar w:top="1440" w:right="1440" w:bottom="1440"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