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6.3-2 — Distribución por categoría de asistencia</w:t>
            </w:r>
          </w:p>
        </w:tc>
      </w:tr>
      <w:tr>
        <w:tc>
          <w:tcPr>
            <w:tcW w:w="6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Frecuencia</w:t>
            </w:r>
          </w:p>
        </w:tc>
        <w:tc>
          <w:tcPr>
            <w:tcW w:w="2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%</w:t>
            </w:r>
          </w:p>
        </w:tc>
      </w:tr>
      <w:tr>
        <w:tc>
          <w:tcPr>
            <w:tcW w:w="6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Asistencia ≥90% (cumplidores estrictos)</w:t>
            </w:r>
          </w:p>
        </w:tc>
        <w:tc>
          <w:tcPr>
            <w:tcW w:w="2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145</w:t>
            </w:r>
          </w:p>
        </w:tc>
        <w:tc>
          <w:tcPr>
            <w:tcW w:w="2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46.5</w:t>
            </w:r>
          </w:p>
        </w:tc>
      </w:tr>
      <w:tr>
        <w:tc>
          <w:tcPr>
            <w:tcW w:w="6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Asistencia 50-89% (parcial)</w:t>
            </w:r>
          </w:p>
        </w:tc>
        <w:tc>
          <w:tcPr>
            <w:tcW w:w="2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133</w:t>
            </w:r>
          </w:p>
        </w:tc>
        <w:tc>
          <w:tcPr>
            <w:tcW w:w="2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42.6</w:t>
            </w:r>
          </w:p>
        </w:tc>
      </w:tr>
      <w:tr>
        <w:tc>
          <w:tcPr>
            <w:tcW w:w="6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Asistencia &lt;50% (bajo cumplimiento)</w:t>
            </w:r>
          </w:p>
        </w:tc>
        <w:tc>
          <w:tcPr>
            <w:tcW w:w="2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34</w:t>
            </w:r>
          </w:p>
        </w:tc>
        <w:tc>
          <w:tcPr>
            <w:tcW w:w="2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10.9</w:t>
            </w: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la distribución de los productores asistentes según su porcentaje de asistencia a las sesiones del programa. El denominador corresponde a los productores que asistieron al menos a una sesión (n = 312). Las tres categorías son mutuamente excluyentes y exhaustivas.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