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5="http://schemas.microsoft.com/office/word/2012/wordml" xmlns:w14="http://schemas.microsoft.com/office/word/2010/wordml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gridSpan w:val="8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Roboto" w:hAnsi="Roboto" w:eastAsia="Roboto" w:cs="Roboto"/>
                <w:b w:val="true"/>
                <w:sz w:val="20"/>
              </w:rPr>
              <w:t xml:space="preserve">Tabla B.5-2 — Balance en variables resultado en línea base (versión ENA)</w:t>
            </w:r>
          </w:p>
        </w:tc>
      </w:tr>
      <w:tr>
        <w:tc>
          <w:tcPr>
            <w:tcW w:w="38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004E70" w:fill="004E70"/>
          </w:tcPr>
          <w:p>
            <w:pPr>
              <w:spacing w:after="0"/>
            </w:pPr>
          </w:p>
        </w:tc>
        <w:tc>
          <w:tcPr>
            <w:tcW w:w="18" w:type="dxa"/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Control</w:t>
            </w:r>
          </w:p>
        </w:tc>
        <w:tc>
          <w:tcPr>
            <w:tcW w:w="18" w:type="dxa"/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Tratamiento</w:t>
            </w:r>
          </w:p>
        </w:tc>
        <w:tc>
          <w:tcPr>
            <w:tcW w:w="26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Balance</w:t>
            </w:r>
          </w:p>
        </w:tc>
      </w:tr>
      <w:tr>
        <w:tc>
          <w:tcPr>
            <w:tcW w:w="38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</w:tcPr>
          <w:p>
            <w:pPr>
              <w:spacing w:after="0"/>
            </w:pPr>
          </w:p>
        </w:tc>
        <w:tc>
          <w:tcPr>
            <w:tcW w:w="12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Media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DE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Media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DE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Dif.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SMD</w:t>
            </w:r>
          </w:p>
        </w:tc>
        <w:tc>
          <w:tcPr>
            <w:tcW w:w="10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p-valor</w:t>
            </w:r>
          </w:p>
        </w:tc>
      </w:tr>
      <w:tr>
        <w:tc>
          <w:tcPr>
            <w:tcW w:w="38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BPA Riego</w:t>
            </w:r>
          </w:p>
        </w:tc>
        <w:tc>
          <w:tcPr>
            <w:tcW w:w="12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0.53</w:t>
            </w:r>
          </w:p>
        </w:tc>
        <w:tc>
          <w:tcPr>
            <w:tcW w:w="6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(7.27)</w:t>
            </w:r>
          </w:p>
        </w:tc>
        <w:tc>
          <w:tcPr>
            <w:tcW w:w="12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1.01</w:t>
            </w:r>
          </w:p>
        </w:tc>
        <w:tc>
          <w:tcPr>
            <w:tcW w:w="6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(10.02)</w:t>
            </w:r>
          </w:p>
        </w:tc>
        <w:tc>
          <w:tcPr>
            <w:tcW w:w="8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0.42</w:t>
            </w:r>
          </w:p>
        </w:tc>
        <w:tc>
          <w:tcPr>
            <w:tcW w:w="8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0.048</w:t>
            </w:r>
          </w:p>
        </w:tc>
        <w:tc>
          <w:tcPr>
            <w:tcW w:w="10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0.591</w:t>
            </w:r>
          </w:p>
        </w:tc>
      </w:tr>
      <w:tr>
        <w:tc>
          <w:tcPr>
            <w:tcW w:w="3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BPA Suelo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1.33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(11.45)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1.74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(13.07)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0.72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0.059</w:t>
            </w:r>
          </w:p>
        </w:tc>
        <w:tc>
          <w:tcPr>
            <w:tcW w:w="1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0.308</w:t>
            </w:r>
          </w:p>
        </w:tc>
      </w:tr>
      <w:tr>
        <w:tc>
          <w:tcPr>
            <w:tcW w:w="3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BPA Fertilizantes/Abonos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0.66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(8.12)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0.43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(6.58)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-0.55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-0.075</w:t>
            </w:r>
          </w:p>
        </w:tc>
        <w:tc>
          <w:tcPr>
            <w:tcW w:w="1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0.228</w:t>
            </w:r>
          </w:p>
        </w:tc>
      </w:tr>
      <w:tr>
        <w:tc>
          <w:tcPr>
            <w:tcW w:w="3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BPA Plaguicidas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0.40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(6.30)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0.87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(9.28)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0.22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0.027</w:t>
            </w:r>
          </w:p>
        </w:tc>
        <w:tc>
          <w:tcPr>
            <w:tcW w:w="1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0.716</w:t>
            </w:r>
          </w:p>
        </w:tc>
      </w:tr>
      <w:tr>
        <w:tc>
          <w:tcPr>
            <w:tcW w:w="3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BPA Control biológico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0.00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(0.00)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0.00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(0.00)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0.00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.</w:t>
            </w:r>
          </w:p>
        </w:tc>
        <w:tc>
          <w:tcPr>
            <w:tcW w:w="1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.</w:t>
            </w:r>
          </w:p>
        </w:tc>
      </w:tr>
      <w:tr>
        <w:tc>
          <w:tcPr>
            <w:tcW w:w="3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BPA Manejo integrado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5.70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(23.21)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8.25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(27.53)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3.87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0.152</w:t>
            </w:r>
          </w:p>
        </w:tc>
        <w:tc>
          <w:tcPr>
            <w:tcW w:w="1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0.043**</w:t>
            </w:r>
          </w:p>
        </w:tc>
      </w:tr>
      <w:tr>
        <w:tc>
          <w:tcPr>
            <w:tcW w:w="3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BPA Inocuidad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22.64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(41.88)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32.95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(47.04)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8.17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0.184</w:t>
            </w:r>
          </w:p>
        </w:tc>
        <w:tc>
          <w:tcPr>
            <w:tcW w:w="1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0.016**</w:t>
            </w:r>
          </w:p>
        </w:tc>
      </w:tr>
      <w:tr>
        <w:tc>
          <w:tcPr>
            <w:tcW w:w="3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Pilar Agro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1.86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(13.51)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2.60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(15.94)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1.01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0.069</w:t>
            </w:r>
          </w:p>
        </w:tc>
        <w:tc>
          <w:tcPr>
            <w:tcW w:w="1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0.331</w:t>
            </w:r>
          </w:p>
        </w:tc>
      </w:tr>
      <w:tr>
        <w:tc>
          <w:tcPr>
            <w:tcW w:w="3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Pilar Insumos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6.37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(24.43)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8.68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(28.18)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3.46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0.131</w:t>
            </w:r>
          </w:p>
        </w:tc>
        <w:tc>
          <w:tcPr>
            <w:tcW w:w="1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0.046**</w:t>
            </w:r>
          </w:p>
        </w:tc>
      </w:tr>
      <w:tr>
        <w:tc>
          <w:tcPr>
            <w:tcW w:w="3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Pilar Inocuidad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22.64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(41.88)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32.95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(47.04)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8.17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0.184</w:t>
            </w:r>
          </w:p>
        </w:tc>
        <w:tc>
          <w:tcPr>
            <w:tcW w:w="1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0.016**</w:t>
            </w:r>
          </w:p>
        </w:tc>
      </w:tr>
      <w:tr>
        <w:tc>
          <w:tcPr>
            <w:tcW w:w="38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Compuesto final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1.86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(13.53)</w:t>
            </w:r>
          </w:p>
        </w:tc>
        <w:tc>
          <w:tcPr>
            <w:tcW w:w="12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5.95</w:t>
            </w:r>
          </w:p>
        </w:tc>
        <w:tc>
          <w:tcPr>
            <w:tcW w:w="6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(23.67)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3.80</w:t>
            </w:r>
          </w:p>
        </w:tc>
        <w:tc>
          <w:tcPr>
            <w:tcW w:w="8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0.197</w:t>
            </w:r>
          </w:p>
        </w:tc>
        <w:tc>
          <w:tcPr>
            <w:tcW w:w="10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0.006***</w:t>
            </w:r>
          </w:p>
        </w:tc>
      </w:tr>
      <w:tr>
        <w:tc>
          <w:tcPr>
            <w:gridSpan w:val="8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Roboto" w:hAnsi="Roboto" w:eastAsia="Roboto" w:cs="Roboto"/>
                <w:i w:val="true"/>
                <w:sz w:val="18"/>
              </w:rPr>
              <w:t xml:space="preserve">Notas: </w:t>
            </w:r>
            <w:r>
              <w:rPr>
                <w:rFonts w:ascii="Roboto" w:hAnsi="Roboto" w:eastAsia="Roboto" w:cs="Roboto"/>
                <w:i w:val="true"/>
                <w:sz w:val="18"/>
              </w:rPr>
              <w:t xml:space="preserve">La tabla reporta el balance preintervención de las variables de resultado principales</w:t>
            </w:r>
            <w:r>
              <w:rPr>
                <w:rFonts w:ascii="Roboto" w:hAnsi="Roboto" w:eastAsia="Roboto" w:cs="Roboto"/>
                <w:i w:val="true"/>
                <w:sz w:val="18"/>
              </w:rPr>
              <w:t xml:space="preserve"> </w:t>
            </w:r>
            <w:r>
              <w:rPr>
                <w:rFonts w:ascii="Roboto" w:hAnsi="Roboto" w:eastAsia="Roboto" w:cs="Roboto"/>
                <w:i w:val="true"/>
                <w:sz w:val="18"/>
              </w:rPr>
              <w:t xml:space="preserve">medidas sobre la muestra analítica en línea base (definida en la Figura 4.2-1)</w:t>
            </w:r>
            <w:r>
              <w:rPr>
                <w:rFonts w:ascii="Roboto" w:hAnsi="Roboto" w:eastAsia="Roboto" w:cs="Roboto"/>
                <w:i w:val="true"/>
                <w:sz w:val="18"/>
              </w:rPr>
              <w:t xml:space="preserve"> en su versión ENA. </w:t>
            </w:r>
            <w:r>
              <w:rPr>
                <w:rFonts w:ascii="Roboto" w:hAnsi="Roboto" w:eastAsia="Roboto" w:cs="Roboto"/>
                <w:i w:val="true"/>
                <w:sz w:val="18"/>
              </w:rPr>
              <w:t xml:space="preserve">Todas las variables de resultado son binarias y se reportan en esca</w:t>
            </w:r>
            <w:r>
              <w:rPr>
                <w:rFonts w:ascii="Roboto" w:hAnsi="Roboto" w:eastAsia="Roboto" w:cs="Roboto"/>
                <w:i w:val="true"/>
                <w:sz w:val="18"/>
              </w:rPr>
              <w:t xml:space="preserve">la 0-100 (porcentaje). La diferencia, la diferencia estandarizada de medias (SMD) y el p-valor provienen de la misma especificación que la Tabla B.5-1 (regresión sobre el indicador de tratamiento con efectos fijos del estrato de aleatorización y del mes de encuesta, </w:t>
            </w:r>
            <w:r>
              <w:rPr>
                <w:rFonts w:ascii="Roboto" w:hAnsi="Roboto" w:eastAsia="Roboto" w:cs="Roboto"/>
                <w:i w:val="true"/>
                <w:sz w:val="18"/>
              </w:rPr>
              <w:t xml:space="preserve">y errores estándar agrupados a nivel de centro poblado). La SMD es la diferencia</w:t>
            </w:r>
            <w:r>
              <w:rPr>
                <w:rFonts w:ascii="Roboto" w:hAnsi="Roboto" w:eastAsia="Roboto" w:cs="Roboto"/>
                <w:i w:val="true"/>
                <w:sz w:val="18"/>
              </w:rPr>
              <w:t xml:space="preserve"> entre brazos dividida entre la desviación estándar combinada de ambos brazos. Significancia: *** p&lt;0.01, ** p&lt;0.05, * p&lt;0.10.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5="http://schemas.microsoft.com/office/word/2012/wordml" xmlns:w14="http://schemas.microsoft.com/office/word/2010/wordml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5="http://schemas.microsoft.com/office/word/2012/wordml" xmlns:w14="http://schemas.microsoft.com/office/word/2010/wordml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