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="http://schemas.openxmlformats.org/wordprocessingml/2006/main" xmlns:m="http://schemas.openxmlformats.org/officeDocument/2006/math" xmlns:wp="http://schemas.openxmlformats.org/drawingml/2006/wordprocessingDrawing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true"/>
                <w:sz w:val="20"/>
              </w:rPr>
              <w:t xml:space="preserve">Tabla D13 — Distribución por categoría de asistencia (n = 312)</w:t>
            </w:r>
          </w:p>
        </w:tc>
      </w:tr>
      <w:tr>
        <w:tc>
          <w:tcPr>
            <w:tcW w:w="60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20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Frecuencia</w:t>
            </w:r>
          </w:p>
        </w:tc>
        <w:tc>
          <w:tcPr>
            <w:tcW w:w="20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%</w:t>
            </w:r>
          </w:p>
        </w:tc>
      </w:tr>
      <w:tr>
        <w:tc>
          <w:tcPr>
            <w:tcW w:w="60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Asistencia ≥90% (cumplidores estrictos)</w:t>
            </w:r>
          </w:p>
        </w:tc>
        <w:tc>
          <w:tcPr>
            <w:tcW w:w="20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145</w:t>
            </w:r>
          </w:p>
        </w:tc>
        <w:tc>
          <w:tcPr>
            <w:tcW w:w="20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46.5</w:t>
            </w:r>
          </w:p>
        </w:tc>
      </w:tr>
      <w:tr>
        <w:tc>
          <w:tcPr>
            <w:tcW w:w="6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Asistencia 50-89% (parcial)</w:t>
            </w:r>
          </w:p>
        </w:tc>
        <w:tc>
          <w:tcPr>
            <w:tcW w:w="2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133</w:t>
            </w:r>
          </w:p>
        </w:tc>
        <w:tc>
          <w:tcPr>
            <w:tcW w:w="2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42.6</w:t>
            </w:r>
          </w:p>
        </w:tc>
      </w:tr>
      <w:tr>
        <w:tc>
          <w:tcPr>
            <w:tcW w:w="6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Asistencia &lt;50% (bajo cumplimiento)</w:t>
            </w:r>
          </w:p>
        </w:tc>
        <w:tc>
          <w:tcPr>
            <w:tcW w:w="2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34</w:t>
            </w:r>
          </w:p>
        </w:tc>
        <w:tc>
          <w:tcPr>
            <w:tcW w:w="2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10.9</w:t>
            </w:r>
          </w:p>
        </w:tc>
      </w:tr>
      <w:tr>
        <w:tc>
          <w:tcPr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i w:val="true"/>
                <w:sz w:val="18"/>
              </w:rPr>
              <w:t xml:space="preserve">Notas: La tabla reporta la distribución de los productores asistentes según su porcentaje de asistencia a las sesiones del programa. El denominador corresponde a los productores que asistieron al menos a una sesión (n = 312). Las tres categorías son mutuamente excluyentes y exhaustivas.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="http://schemas.openxmlformats.org/wordprocessingml/2006/main" xmlns:m="http://schemas.openxmlformats.org/officeDocument/2006/math" xmlns:wp="http://schemas.openxmlformats.org/drawingml/2006/wordprocessingDrawing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="http://schemas.openxmlformats.org/wordprocessingml/2006/main" xmlns:m="http://schemas.openxmlformats.org/officeDocument/2006/math" xmlns:wp="http://schemas.openxmlformats.org/drawingml/2006/wordprocessingDrawing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