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D1 — Flujo CONSORT del estudio</w:t>
            </w:r>
            <w:r>
              <w:rPr>
                <w:rFonts w:ascii="Roboto" w:hAnsi="Roboto" w:eastAsia="Roboto" w:cs="Roboto"/>
                <w:b w:val="true"/>
                <w:sz w:val="20"/>
              </w:rPr>
              <w:t xml:space="preserve"> — variante con atritos paralelos</w:t>
            </w:r>
          </w:p>
        </w:tc>
      </w:tr>
      <w:tr>
        <w:tc>
          <w:tcPr>
            <w:tcW w:w="4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6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Clústeres</w:t>
            </w:r>
          </w:p>
        </w:tc>
        <w:tc>
          <w:tcPr>
            <w:tcW w:w="26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Productores</w:t>
            </w:r>
          </w:p>
        </w:tc>
      </w:tr>
      <w:tr>
        <w:tc>
          <w:tcPr>
            <w:tcW w:w="4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Tratamiento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Control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Tratamiento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Control</w:t>
            </w:r>
          </w:p>
        </w:tc>
      </w:tr>
      <w:tr>
        <w:tc>
          <w:tcPr>
            <w:tcW w:w="4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Aleatorización</w:t>
            </w:r>
          </w:p>
        </w:tc>
        <w:tc>
          <w:tcPr>
            <w:tcW w:w="13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68</w:t>
            </w:r>
          </w:p>
        </w:tc>
        <w:tc>
          <w:tcPr>
            <w:tcW w:w="13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67</w:t>
            </w:r>
          </w:p>
        </w:tc>
        <w:tc>
          <w:tcPr>
            <w:tcW w:w="13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Atritos sin línea base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Cumplidores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46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56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541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662</w:t>
            </w:r>
          </w:p>
        </w:tc>
      </w:tr>
      <w:tr>
        <w:tc>
          <w:tcPr>
            <w:tcW w:w="4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— con desviación temporal (implementación temprana)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32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No cumplidores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19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150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92</w:t>
            </w:r>
          </w:p>
        </w:tc>
      </w:tr>
      <w:tr>
        <w:tc>
          <w:tcPr>
            <w:tcW w:w="4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— con derrame (T) / ECA temprana (C)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13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60</w:t>
            </w:r>
          </w:p>
        </w:tc>
      </w:tr>
      <w:tr>
        <w:tc>
          <w:tcPr>
            <w:tcW w:w="4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— con caso gris (C)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32</w:t>
            </w:r>
          </w:p>
        </w:tc>
      </w:tr>
      <w:tr>
        <w:tc>
          <w:tcPr>
            <w:tcW w:w="4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Muestra analítica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65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63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691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754</w:t>
            </w:r>
          </w:p>
        </w:tc>
      </w:tr>
      <w:tr>
        <w:tc>
          <w:tcPr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los conteos duales (clústeres y productores) en cada etapa del flujo CONSORT del clúster-RCT. Los atritos sin línea base corresponden a centros poblados aleatorizados que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no fueron alcanzados por la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encuesta de línea base; al carecer de medición pretratamiento, no se reportan productores en esta etapa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y quedan excluidos de la muestra analítica. Cumplimiento estricto a nivel clúster: tratamiento exige ECA en el producto a evaluar en el periodo 2021II-2022I; control exige no haber recibido ECA en ningún producto del estudio en 2021. Subgrupos en tratamiento: desviación temporal = cumplidores cuya ECA fue implementada antes del periodo de evaluación; derrame = clústeres no cumplidores con al menos un productor que asistió a una ECA en algún cultivo del estudio. Subgrupos en control: ECA temprana = clústeres no cumplidores que implementaron ECA en el mismo cultivo asignado en el periodo de evaluación o antes; caso gris = clústeres no cumplidores con ECA en un cultivo del estudio distinto al asignado.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