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</w:tblGrid>
      <w:tr>
        <w:tc>
          <w:tcPr>
            <w:gridSpan w:val="14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b w:val="true"/>
                <w:sz w:val="20"/>
              </w:rPr>
              <w:t xml:space="preserve">Tabla D3 — Estadísticas descriptivas y balance de productores por clúster</w:t>
            </w:r>
          </w:p>
        </w:tc>
      </w:tr>
      <w:tr>
        <w:tc>
          <w:tcPr>
            <w:tcW w:w="1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30" w:type="dxa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Control</w:t>
            </w:r>
          </w:p>
        </w:tc>
        <w:tc>
          <w:tcPr>
            <w:tcW w:w="30" w:type="dxa"/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Tratamiento</w:t>
            </w:r>
          </w:p>
        </w:tc>
        <w:tc>
          <w:tcPr>
            <w:tcW w:w="22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Balance</w:t>
            </w:r>
          </w:p>
        </w:tc>
      </w:tr>
      <w:tr>
        <w:tc>
          <w:tcPr>
            <w:tcW w:w="1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1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DE</w:t>
            </w:r>
          </w:p>
        </w:tc>
        <w:tc>
          <w:tcPr>
            <w:tcW w:w="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Mediana</w:t>
            </w:r>
          </w:p>
        </w:tc>
        <w:tc>
          <w:tcPr>
            <w:tcW w:w="4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Mín.</w:t>
            </w:r>
          </w:p>
        </w:tc>
        <w:tc>
          <w:tcPr>
            <w:tcW w:w="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Máx.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DE</w:t>
            </w:r>
          </w:p>
        </w:tc>
        <w:tc>
          <w:tcPr>
            <w:tcW w:w="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Mediana</w:t>
            </w:r>
          </w:p>
        </w:tc>
        <w:tc>
          <w:tcPr>
            <w:tcW w:w="4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Mín.</w:t>
            </w:r>
          </w:p>
        </w:tc>
        <w:tc>
          <w:tcPr>
            <w:tcW w:w="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Máx.</w:t>
            </w:r>
          </w:p>
        </w:tc>
        <w:tc>
          <w:tcPr>
            <w:tcW w:w="7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Dif.</w:t>
            </w:r>
          </w:p>
        </w:tc>
        <w:tc>
          <w:tcPr>
            <w:tcW w:w="7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SMD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p-valor</w:t>
            </w:r>
          </w:p>
        </w:tc>
      </w:tr>
      <w:tr>
        <w:tc>
          <w:tcPr>
            <w:tcW w:w="18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Productores por clúster</w:t>
            </w:r>
          </w:p>
        </w:tc>
        <w:tc>
          <w:tcPr>
            <w:tcW w:w="10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11.97</w:t>
            </w:r>
          </w:p>
        </w:tc>
        <w:tc>
          <w:tcPr>
            <w:tcW w:w="6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4.61</w:t>
            </w:r>
          </w:p>
        </w:tc>
        <w:tc>
          <w:tcPr>
            <w:tcW w:w="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14.00</w:t>
            </w:r>
          </w:p>
        </w:tc>
        <w:tc>
          <w:tcPr>
            <w:tcW w:w="4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2.00</w:t>
            </w:r>
          </w:p>
        </w:tc>
        <w:tc>
          <w:tcPr>
            <w:tcW w:w="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16.00</w:t>
            </w:r>
          </w:p>
        </w:tc>
        <w:tc>
          <w:tcPr>
            <w:tcW w:w="10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10.63</w:t>
            </w:r>
          </w:p>
        </w:tc>
        <w:tc>
          <w:tcPr>
            <w:tcW w:w="6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5.34</w:t>
            </w:r>
          </w:p>
        </w:tc>
        <w:tc>
          <w:tcPr>
            <w:tcW w:w="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12.00</w:t>
            </w:r>
          </w:p>
        </w:tc>
        <w:tc>
          <w:tcPr>
            <w:tcW w:w="4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1.00</w:t>
            </w:r>
          </w:p>
        </w:tc>
        <w:tc>
          <w:tcPr>
            <w:tcW w:w="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17.00</w:t>
            </w:r>
          </w:p>
        </w:tc>
        <w:tc>
          <w:tcPr>
            <w:tcW w:w="7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-0.964</w:t>
            </w:r>
          </w:p>
        </w:tc>
        <w:tc>
          <w:tcPr>
            <w:tcW w:w="7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-0.193</w:t>
            </w:r>
          </w:p>
        </w:tc>
        <w:tc>
          <w:tcPr>
            <w:tcW w:w="8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0.211</w:t>
            </w:r>
          </w:p>
        </w:tc>
      </w:tr>
      <w:tr>
        <w:tc>
          <w:tcPr>
            <w:gridSpan w:val="14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i w:val="true"/>
                <w:sz w:val="18"/>
              </w:rPr>
              <w:t xml:space="preserve">Notas: La tabla reporta estadísticos descriptivos del número de productores por centro poblado, calculados a nivel de clúster (una observación por centro poblado) 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sobre la muestra analítica en línea base (definida en la Figura 4.2-1)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. La columna 'Dif.' corresponde al coeficiente de una regresión del número de productores sobre el indicador de tratamiento, con efectos fijos del estrato de aleatorización y errores estándar robustos. La columna 'SMD' reporta la diferencia estandarizada de medias: la diferencia entre brazos dividida entre la desviación estándar combinada de ambos brazos (raíz cuadrada del promedio simple de las varianzas en control y tratamiento).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