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D9 — Atrición a nivel productor (línea base → línea de seguimiento)</w:t>
            </w:r>
          </w:p>
        </w:tc>
      </w:tr>
      <w:tr>
        <w:tc>
          <w:tcPr>
            <w:tcW w:w="4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Total</w:t>
            </w:r>
          </w:p>
        </w:tc>
        <w:tc>
          <w:tcPr>
            <w:tcW w:w="24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4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Dif. (pp)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4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Productores con línea base (n)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754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691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1445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Línea de seguimiento completada (%)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86.6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91.0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88.7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3.5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0.274</w:t>
            </w:r>
          </w:p>
        </w:tc>
      </w:tr>
      <w:tr>
        <w:tc>
          <w:tcPr>
            <w:tcW w:w="4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Atrición a nivel productor — línea base → línea de seguimiento (%)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13.4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9.0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11.3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-3.5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0.274</w:t>
            </w: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atrición a nivel productor observada entre línea base y línea de seguimiento —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productores con encuesta de línea base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que no fueron alcanzados por la encuesta de línea de seguimiento. Esta atrición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es conceptualmente distinta de la atrición a nivel clúster reportada en la Tabla D1 (centros poblados aleatorizados sin línea base, excluidos antes del análisis). El denominador corresponde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a los productores con encuesta de línea base completa (muestra analítica).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El diferencial entre brazos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se estima por regresión del indicador de línea de seguimiento completad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o sobre el indicador de tratamiento, con efectos fijos del estrato de aleatorización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y errores estándar agrupados a nivel de centro poblado. No se reporta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Panel A (Cobertura de la línea base)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porque no se dispuso de un padrón censal previo a la línea base.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Significancia: *** p&lt;0.01, ** p&lt;0.05, * p&lt;0.10.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