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F7" w:rsidRPr="008C11F7" w:rsidRDefault="008C11F7" w:rsidP="008C11F7">
      <w:pPr>
        <w:spacing w:after="398" w:line="259" w:lineRule="auto"/>
        <w:ind w:left="0" w:firstLine="0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8C11F7">
        <w:rPr>
          <w:rFonts w:ascii="Arial" w:hAnsi="Arial" w:cs="Arial"/>
          <w:b/>
          <w:color w:val="000000" w:themeColor="text1"/>
          <w:u w:val="single"/>
        </w:rPr>
        <w:t>Deontología Profesional</w:t>
      </w:r>
    </w:p>
    <w:p w:rsidR="00292EB7" w:rsidRPr="008C11F7" w:rsidRDefault="008C11F7">
      <w:pPr>
        <w:spacing w:after="159" w:line="259" w:lineRule="auto"/>
        <w:ind w:left="360" w:firstLine="0"/>
        <w:rPr>
          <w:rFonts w:ascii="Arial" w:hAnsi="Arial" w:cs="Arial"/>
          <w:color w:val="000000" w:themeColor="text1"/>
          <w:sz w:val="24"/>
        </w:rPr>
      </w:pPr>
      <w:r w:rsidRPr="00AF09CF">
        <w:rPr>
          <w:rFonts w:ascii="Arial" w:hAnsi="Arial" w:cs="Arial"/>
          <w:color w:val="000000" w:themeColor="text1"/>
          <w:sz w:val="24"/>
          <w:u w:val="single"/>
        </w:rPr>
        <w:t>Alumno</w:t>
      </w:r>
      <w:r w:rsidRPr="008C11F7">
        <w:rPr>
          <w:rFonts w:ascii="Arial" w:hAnsi="Arial" w:cs="Arial"/>
          <w:color w:val="000000" w:themeColor="text1"/>
          <w:sz w:val="24"/>
        </w:rPr>
        <w:t>: González Gabriel</w:t>
      </w:r>
    </w:p>
    <w:p w:rsidR="008C11F7" w:rsidRPr="008C11F7" w:rsidRDefault="008C11F7">
      <w:pPr>
        <w:spacing w:after="159" w:line="259" w:lineRule="auto"/>
        <w:ind w:left="360" w:firstLine="0"/>
        <w:rPr>
          <w:rFonts w:ascii="Arial" w:hAnsi="Arial" w:cs="Arial"/>
          <w:color w:val="000000" w:themeColor="text1"/>
          <w:sz w:val="24"/>
        </w:rPr>
      </w:pPr>
      <w:r w:rsidRPr="00AF09CF">
        <w:rPr>
          <w:rFonts w:ascii="Arial" w:hAnsi="Arial" w:cs="Arial"/>
          <w:color w:val="000000" w:themeColor="text1"/>
          <w:sz w:val="24"/>
          <w:u w:val="single"/>
        </w:rPr>
        <w:t>Curso</w:t>
      </w:r>
      <w:r w:rsidRPr="008C11F7">
        <w:rPr>
          <w:rFonts w:ascii="Arial" w:hAnsi="Arial" w:cs="Arial"/>
          <w:color w:val="000000" w:themeColor="text1"/>
          <w:sz w:val="24"/>
        </w:rPr>
        <w:t>: 7</w:t>
      </w:r>
      <w:r w:rsidRPr="008C11F7">
        <w:rPr>
          <w:rFonts w:ascii="Arial" w:hAnsi="Arial" w:cs="Arial"/>
          <w:color w:val="000000" w:themeColor="text1"/>
          <w:sz w:val="24"/>
        </w:rPr>
        <w:tab/>
      </w:r>
      <w:r w:rsidRPr="00AF09CF">
        <w:rPr>
          <w:rFonts w:ascii="Arial" w:hAnsi="Arial" w:cs="Arial"/>
          <w:color w:val="000000" w:themeColor="text1"/>
          <w:sz w:val="24"/>
          <w:u w:val="single"/>
        </w:rPr>
        <w:t>División</w:t>
      </w:r>
      <w:r w:rsidRPr="008C11F7">
        <w:rPr>
          <w:rFonts w:ascii="Arial" w:hAnsi="Arial" w:cs="Arial"/>
          <w:color w:val="000000" w:themeColor="text1"/>
          <w:sz w:val="24"/>
        </w:rPr>
        <w:t>: IV</w:t>
      </w:r>
    </w:p>
    <w:p w:rsidR="00292EB7" w:rsidRPr="008C11F7" w:rsidRDefault="00292EB7">
      <w:pPr>
        <w:spacing w:after="158" w:line="259" w:lineRule="auto"/>
        <w:ind w:left="360" w:firstLine="0"/>
        <w:rPr>
          <w:rFonts w:ascii="Arial" w:hAnsi="Arial" w:cs="Arial"/>
          <w:color w:val="000000" w:themeColor="text1"/>
        </w:rPr>
      </w:pPr>
    </w:p>
    <w:p w:rsidR="00292EB7" w:rsidRPr="008C11F7" w:rsidRDefault="00951870">
      <w:pPr>
        <w:spacing w:after="121" w:line="287" w:lineRule="auto"/>
        <w:ind w:left="355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</w:rPr>
        <w:t>¿</w:t>
      </w:r>
      <w:r w:rsidRPr="008C11F7">
        <w:rPr>
          <w:rFonts w:ascii="Arial" w:hAnsi="Arial" w:cs="Arial"/>
          <w:color w:val="000000" w:themeColor="text1"/>
          <w:u w:val="single" w:color="707070"/>
        </w:rPr>
        <w:t>Qué la deontología profesional</w:t>
      </w:r>
      <w:r w:rsidRPr="008C11F7">
        <w:rPr>
          <w:rFonts w:ascii="Arial" w:hAnsi="Arial" w:cs="Arial"/>
          <w:color w:val="000000" w:themeColor="text1"/>
        </w:rPr>
        <w:t xml:space="preserve">? </w:t>
      </w:r>
    </w:p>
    <w:p w:rsidR="00292EB7" w:rsidRPr="008C11F7" w:rsidRDefault="00951870" w:rsidP="008C11F7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Deontología profesional hace referencia al conjunto de principios y reglas éticas que regulan y guían una actividad profesional. Estas normas determinan los deberes mínimamente exigibles a los profesionales en el desempeño de su actividad. El colectivo pro</w:t>
      </w:r>
      <w:r w:rsidRPr="008C11F7">
        <w:rPr>
          <w:rFonts w:ascii="Arial" w:hAnsi="Arial" w:cs="Arial"/>
          <w:color w:val="000000" w:themeColor="text1"/>
          <w:sz w:val="24"/>
        </w:rPr>
        <w:t xml:space="preserve">fesional es el cual determina estas normas. </w:t>
      </w:r>
    </w:p>
    <w:p w:rsidR="00292EB7" w:rsidRPr="008C11F7" w:rsidRDefault="00951870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El término deontología procede del griego: to </w:t>
      </w:r>
      <w:proofErr w:type="spellStart"/>
      <w:r w:rsidRPr="008C11F7">
        <w:rPr>
          <w:rFonts w:ascii="Arial" w:hAnsi="Arial" w:cs="Arial"/>
          <w:color w:val="000000" w:themeColor="text1"/>
          <w:sz w:val="24"/>
        </w:rPr>
        <w:t>deon</w:t>
      </w:r>
      <w:proofErr w:type="spellEnd"/>
      <w:r w:rsidRPr="008C11F7">
        <w:rPr>
          <w:rFonts w:ascii="Arial" w:hAnsi="Arial" w:cs="Arial"/>
          <w:color w:val="000000" w:themeColor="text1"/>
          <w:sz w:val="24"/>
        </w:rPr>
        <w:t xml:space="preserve"> (lo conveniente, lo debido) y logia (conocimie</w:t>
      </w:r>
      <w:r w:rsidRPr="008C11F7">
        <w:rPr>
          <w:rFonts w:ascii="Arial" w:hAnsi="Arial" w:cs="Arial"/>
          <w:color w:val="000000" w:themeColor="text1"/>
          <w:sz w:val="24"/>
        </w:rPr>
        <w:t xml:space="preserve">nto, estudio…); lo que </w:t>
      </w:r>
      <w:r w:rsidRPr="008C11F7">
        <w:rPr>
          <w:rFonts w:ascii="Arial" w:hAnsi="Arial" w:cs="Arial"/>
          <w:color w:val="000000" w:themeColor="text1"/>
          <w:sz w:val="24"/>
        </w:rPr>
        <w:t>significa, en términos generales, el estudio o la ciencia de lo debido. El objeto de estu</w:t>
      </w:r>
      <w:r w:rsidRPr="008C11F7">
        <w:rPr>
          <w:rFonts w:ascii="Arial" w:hAnsi="Arial" w:cs="Arial"/>
          <w:color w:val="000000" w:themeColor="text1"/>
          <w:sz w:val="24"/>
        </w:rPr>
        <w:t xml:space="preserve">dio de la Deontología son los fundamentos del deber y las morales este fue acuñado por Jeremías Bentham en su obra deontológica o ciencia de la moral. </w:t>
      </w:r>
    </w:p>
    <w:p w:rsidR="00292EB7" w:rsidRDefault="00951870" w:rsidP="008C11F7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Bentham considera que la base de la deontología es el utilitarismo, lo que significa que los actos de la</w:t>
      </w:r>
      <w:r w:rsidRPr="008C11F7">
        <w:rPr>
          <w:rFonts w:ascii="Arial" w:hAnsi="Arial" w:cs="Arial"/>
          <w:color w:val="000000" w:themeColor="text1"/>
          <w:sz w:val="24"/>
        </w:rPr>
        <w:t>s personas se consideran buenos o malos en función de la felic</w:t>
      </w:r>
      <w:r w:rsidR="008C11F7">
        <w:rPr>
          <w:rFonts w:ascii="Arial" w:hAnsi="Arial" w:cs="Arial"/>
          <w:color w:val="000000" w:themeColor="text1"/>
          <w:sz w:val="24"/>
        </w:rPr>
        <w:t>idad global que puedan generar.</w:t>
      </w:r>
    </w:p>
    <w:p w:rsidR="008C11F7" w:rsidRPr="008C11F7" w:rsidRDefault="008C11F7" w:rsidP="008C11F7">
      <w:pPr>
        <w:ind w:left="355"/>
        <w:rPr>
          <w:rFonts w:ascii="Arial" w:hAnsi="Arial" w:cs="Arial"/>
          <w:color w:val="000000" w:themeColor="text1"/>
          <w:sz w:val="24"/>
        </w:rPr>
      </w:pPr>
    </w:p>
    <w:p w:rsidR="00292EB7" w:rsidRPr="008C11F7" w:rsidRDefault="00951870">
      <w:pPr>
        <w:spacing w:after="121" w:line="287" w:lineRule="auto"/>
        <w:ind w:left="355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  <w:u w:val="single" w:color="707070"/>
        </w:rPr>
        <w:t>¿Qué es aquello a lo que podemos denominar bien en sí o bien</w:t>
      </w:r>
      <w:r w:rsidRPr="008C11F7">
        <w:rPr>
          <w:rFonts w:ascii="Arial" w:hAnsi="Arial" w:cs="Arial"/>
          <w:color w:val="000000" w:themeColor="text1"/>
        </w:rPr>
        <w:t xml:space="preserve"> </w:t>
      </w:r>
      <w:r w:rsidRPr="008C11F7">
        <w:rPr>
          <w:rFonts w:ascii="Arial" w:hAnsi="Arial" w:cs="Arial"/>
          <w:color w:val="000000" w:themeColor="text1"/>
          <w:u w:val="single" w:color="707070"/>
        </w:rPr>
        <w:t>incondicional?</w:t>
      </w:r>
      <w:r w:rsidRPr="008C11F7">
        <w:rPr>
          <w:rFonts w:ascii="Arial" w:hAnsi="Arial" w:cs="Arial"/>
          <w:color w:val="000000" w:themeColor="text1"/>
        </w:rPr>
        <w:t xml:space="preserve">  </w:t>
      </w:r>
    </w:p>
    <w:p w:rsidR="00292EB7" w:rsidRPr="008C11F7" w:rsidRDefault="00951870" w:rsidP="008C11F7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En nuestro contexto sociocultural actual, es la dignidad de cada persona, que debe ser admitida y garantizada jurídicamente </w:t>
      </w:r>
      <w:r w:rsidRPr="008C11F7">
        <w:rPr>
          <w:rFonts w:ascii="Arial" w:hAnsi="Arial" w:cs="Arial"/>
          <w:color w:val="000000" w:themeColor="text1"/>
          <w:sz w:val="24"/>
        </w:rPr>
        <w:t xml:space="preserve">y defendida políticamente. La dignidad es aquello que debe constituir el núcleo principal de toda ética filosófica y de toda deontología profesional que se precie. </w:t>
      </w:r>
    </w:p>
    <w:p w:rsidR="00292EB7" w:rsidRPr="008C11F7" w:rsidRDefault="00951870" w:rsidP="008C11F7">
      <w:pPr>
        <w:ind w:left="355" w:right="80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  <w:u w:val="single"/>
        </w:rPr>
        <w:t>Objeto material</w:t>
      </w:r>
      <w:r w:rsidRPr="008C11F7">
        <w:rPr>
          <w:rFonts w:ascii="Arial" w:hAnsi="Arial" w:cs="Arial"/>
          <w:color w:val="000000" w:themeColor="text1"/>
          <w:sz w:val="24"/>
        </w:rPr>
        <w:t>:</w:t>
      </w:r>
      <w:r w:rsidRPr="008C11F7">
        <w:rPr>
          <w:rFonts w:ascii="Arial" w:hAnsi="Arial" w:cs="Arial"/>
          <w:color w:val="000000" w:themeColor="text1"/>
          <w:sz w:val="24"/>
        </w:rPr>
        <w:t xml:space="preserve"> Realidad que constituye el objeto de estudio. En ética es la persona, el ser y la configuración virtuosa o viciosa que se dé a sí o cada uno a través de las acciones. </w:t>
      </w:r>
    </w:p>
    <w:p w:rsidR="008C11F7" w:rsidRPr="008C11F7" w:rsidRDefault="00951870" w:rsidP="008C11F7">
      <w:pPr>
        <w:spacing w:after="2"/>
        <w:ind w:left="360" w:right="69" w:firstLine="0"/>
        <w:jc w:val="both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  <w:u w:val="single"/>
        </w:rPr>
        <w:t>Conocimiento (Ciencia):</w:t>
      </w:r>
      <w:r w:rsidRPr="008C11F7">
        <w:rPr>
          <w:rFonts w:ascii="Arial" w:hAnsi="Arial" w:cs="Arial"/>
          <w:color w:val="000000" w:themeColor="text1"/>
          <w:sz w:val="24"/>
        </w:rPr>
        <w:t xml:space="preserve"> Aquello que se sabe de manera cierta y sus causas. Doctrina o</w:t>
      </w:r>
      <w:r w:rsidRPr="008C11F7">
        <w:rPr>
          <w:rFonts w:ascii="Arial" w:hAnsi="Arial" w:cs="Arial"/>
          <w:color w:val="000000" w:themeColor="text1"/>
          <w:sz w:val="24"/>
        </w:rPr>
        <w:t>rdenada que constituye una rama particular del saber</w:t>
      </w:r>
      <w:r w:rsidR="008C11F7">
        <w:rPr>
          <w:rFonts w:ascii="Arial" w:hAnsi="Arial" w:cs="Arial"/>
          <w:color w:val="000000" w:themeColor="text1"/>
          <w:sz w:val="24"/>
        </w:rPr>
        <w:t xml:space="preserve"> humano. Disciplina filosófica.</w:t>
      </w:r>
    </w:p>
    <w:p w:rsidR="00292EB7" w:rsidRPr="008C11F7" w:rsidRDefault="00951870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La ética como disciplina filosófica intenta a través de métodos de análisis y experiencia propios de la filosofía, elaborar los conceptos y argumentos para comprender la d</w:t>
      </w:r>
      <w:r w:rsidRPr="008C11F7">
        <w:rPr>
          <w:rFonts w:ascii="Arial" w:hAnsi="Arial" w:cs="Arial"/>
          <w:color w:val="000000" w:themeColor="text1"/>
          <w:sz w:val="24"/>
        </w:rPr>
        <w:t xml:space="preserve">imensión moral de la persona. </w:t>
      </w:r>
    </w:p>
    <w:p w:rsidR="00292EB7" w:rsidRPr="008C11F7" w:rsidRDefault="00951870">
      <w:pPr>
        <w:spacing w:after="158" w:line="259" w:lineRule="auto"/>
        <w:ind w:left="360" w:firstLine="0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</w:rPr>
        <w:lastRenderedPageBreak/>
        <w:t xml:space="preserve"> </w:t>
      </w:r>
    </w:p>
    <w:p w:rsidR="00292EB7" w:rsidRPr="008C11F7" w:rsidRDefault="00951870" w:rsidP="008C11F7">
      <w:pPr>
        <w:ind w:left="355" w:right="188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La moral se puede justificar desde tres perspectivas: la Meta</w:t>
      </w:r>
      <w:r w:rsidR="008C11F7">
        <w:rPr>
          <w:rFonts w:ascii="Arial" w:hAnsi="Arial" w:cs="Arial"/>
          <w:color w:val="000000" w:themeColor="text1"/>
          <w:sz w:val="24"/>
        </w:rPr>
        <w:t xml:space="preserve"> </w:t>
      </w:r>
      <w:r w:rsidRPr="008C11F7">
        <w:rPr>
          <w:rFonts w:ascii="Arial" w:hAnsi="Arial" w:cs="Arial"/>
          <w:color w:val="000000" w:themeColor="text1"/>
          <w:sz w:val="24"/>
        </w:rPr>
        <w:t xml:space="preserve">ética (viendo qué son los juicios morales como juicios de valor), la Ética normativa y mediante la propuesta de unas reglas </w:t>
      </w:r>
      <w:r w:rsidRPr="008C11F7">
        <w:rPr>
          <w:rFonts w:ascii="Arial" w:hAnsi="Arial" w:cs="Arial"/>
          <w:color w:val="000000" w:themeColor="text1"/>
          <w:sz w:val="24"/>
        </w:rPr>
        <w:t>prácticas para la discusión, escapando</w:t>
      </w:r>
      <w:r w:rsidRPr="008C11F7">
        <w:rPr>
          <w:rFonts w:ascii="Arial" w:hAnsi="Arial" w:cs="Arial"/>
          <w:color w:val="000000" w:themeColor="text1"/>
          <w:sz w:val="24"/>
        </w:rPr>
        <w:t xml:space="preserve"> del “todo vale”.</w:t>
      </w:r>
      <w:r w:rsidRPr="008C11F7">
        <w:rPr>
          <w:rFonts w:ascii="Arial" w:hAnsi="Arial" w:cs="Arial"/>
          <w:color w:val="000000" w:themeColor="text1"/>
          <w:sz w:val="24"/>
        </w:rPr>
        <w:t xml:space="preserve"> </w:t>
      </w:r>
    </w:p>
    <w:p w:rsidR="00292EB7" w:rsidRPr="008C11F7" w:rsidRDefault="00951870" w:rsidP="008C11F7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  <w:u w:val="single"/>
        </w:rPr>
        <w:t>Meta</w:t>
      </w:r>
      <w:r w:rsidR="008C11F7" w:rsidRPr="008C11F7">
        <w:rPr>
          <w:rFonts w:ascii="Arial" w:hAnsi="Arial" w:cs="Arial"/>
          <w:color w:val="000000" w:themeColor="text1"/>
          <w:sz w:val="24"/>
          <w:u w:val="single"/>
        </w:rPr>
        <w:t xml:space="preserve"> </w:t>
      </w:r>
      <w:r w:rsidRPr="008C11F7">
        <w:rPr>
          <w:rFonts w:ascii="Arial" w:hAnsi="Arial" w:cs="Arial"/>
          <w:color w:val="000000" w:themeColor="text1"/>
          <w:sz w:val="24"/>
          <w:u w:val="single"/>
        </w:rPr>
        <w:t>ética</w:t>
      </w:r>
      <w:r w:rsidRPr="008C11F7">
        <w:rPr>
          <w:rFonts w:ascii="Arial" w:hAnsi="Arial" w:cs="Arial"/>
          <w:color w:val="000000" w:themeColor="text1"/>
          <w:sz w:val="24"/>
          <w:u w:val="single"/>
        </w:rPr>
        <w:t>:</w:t>
      </w:r>
      <w:r w:rsidRPr="008C11F7">
        <w:rPr>
          <w:rFonts w:ascii="Arial" w:hAnsi="Arial" w:cs="Arial"/>
          <w:color w:val="000000" w:themeColor="text1"/>
          <w:sz w:val="24"/>
        </w:rPr>
        <w:t xml:space="preserve"> Con este término se designa al estudio sobre la significación, el sentido y la evolución histórica de los conceptos éticos. </w:t>
      </w:r>
    </w:p>
    <w:p w:rsidR="00292EB7" w:rsidRDefault="00951870" w:rsidP="008C11F7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Ética normativa</w:t>
      </w:r>
      <w:r w:rsidRPr="008C11F7">
        <w:rPr>
          <w:rFonts w:ascii="Arial" w:hAnsi="Arial" w:cs="Arial"/>
          <w:color w:val="000000" w:themeColor="text1"/>
          <w:sz w:val="24"/>
        </w:rPr>
        <w:t>: la Ética de la virtud se basa en las actitudes de las personas, con la corriente</w:t>
      </w:r>
      <w:r w:rsidRPr="008C11F7">
        <w:rPr>
          <w:rFonts w:ascii="Arial" w:hAnsi="Arial" w:cs="Arial"/>
          <w:color w:val="000000" w:themeColor="text1"/>
          <w:sz w:val="24"/>
        </w:rPr>
        <w:t xml:space="preserve"> de Aristóteles como base teórica. </w:t>
      </w:r>
    </w:p>
    <w:p w:rsidR="008C11F7" w:rsidRPr="008C11F7" w:rsidRDefault="008C11F7" w:rsidP="008C11F7">
      <w:pPr>
        <w:ind w:left="355"/>
        <w:rPr>
          <w:rFonts w:ascii="Arial" w:hAnsi="Arial" w:cs="Arial"/>
          <w:color w:val="000000" w:themeColor="text1"/>
          <w:sz w:val="24"/>
        </w:rPr>
      </w:pPr>
    </w:p>
    <w:p w:rsidR="008C11F7" w:rsidRPr="008C11F7" w:rsidRDefault="00951870" w:rsidP="00AF09CF">
      <w:pPr>
        <w:spacing w:after="121" w:line="287" w:lineRule="auto"/>
        <w:ind w:left="355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  <w:u w:val="single" w:color="707070"/>
        </w:rPr>
        <w:t>Características que conforman la Ética de la Virtud según</w:t>
      </w:r>
      <w:r w:rsidRPr="008C11F7">
        <w:rPr>
          <w:rFonts w:ascii="Arial" w:hAnsi="Arial" w:cs="Arial"/>
          <w:color w:val="000000" w:themeColor="text1"/>
        </w:rPr>
        <w:t xml:space="preserve"> </w:t>
      </w:r>
      <w:r w:rsidRPr="008C11F7">
        <w:rPr>
          <w:rFonts w:ascii="Arial" w:hAnsi="Arial" w:cs="Arial"/>
          <w:color w:val="000000" w:themeColor="text1"/>
          <w:u w:val="single" w:color="707070"/>
        </w:rPr>
        <w:t>Aristóteles:</w:t>
      </w:r>
      <w:r w:rsidRPr="008C11F7">
        <w:rPr>
          <w:rFonts w:ascii="Arial" w:hAnsi="Arial" w:cs="Arial"/>
          <w:color w:val="000000" w:themeColor="text1"/>
        </w:rPr>
        <w:t xml:space="preserve"> </w:t>
      </w:r>
    </w:p>
    <w:p w:rsidR="00292EB7" w:rsidRPr="008C11F7" w:rsidRDefault="00951870" w:rsidP="008C11F7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Para Aristóteles, el orden social en los modos de vida está directamente ligado con el orden natural de los mismos. Aristóteles considera que, l</w:t>
      </w:r>
      <w:r w:rsidRPr="008C11F7">
        <w:rPr>
          <w:rFonts w:ascii="Arial" w:hAnsi="Arial" w:cs="Arial"/>
          <w:color w:val="000000" w:themeColor="text1"/>
          <w:sz w:val="24"/>
        </w:rPr>
        <w:t xml:space="preserve">o bueno es hacia lo que tienden las cosas de forma natural. Dicho de otra forma, todo aquello que es natural es, según este autor, bueno. </w:t>
      </w:r>
    </w:p>
    <w:p w:rsidR="00292EB7" w:rsidRPr="008C11F7" w:rsidRDefault="00951870" w:rsidP="008C11F7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Sin embargo, esta teoría no está libre de crítica. Es, precisamente, la absolutización de su postura la que genera más desacuerdo, ya que no podemos probar, a ciencia cierta, que lo natural puro exista. </w:t>
      </w:r>
    </w:p>
    <w:p w:rsidR="00292EB7" w:rsidRPr="008C11F7" w:rsidRDefault="00951870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Propuesta intermedia: La vía intermedia se basaría</w:t>
      </w:r>
      <w:r w:rsidRPr="008C11F7">
        <w:rPr>
          <w:rFonts w:ascii="Arial" w:hAnsi="Arial" w:cs="Arial"/>
          <w:color w:val="000000" w:themeColor="text1"/>
          <w:sz w:val="24"/>
        </w:rPr>
        <w:t xml:space="preserve"> en una idea </w:t>
      </w:r>
      <w:proofErr w:type="spellStart"/>
      <w:r w:rsidRPr="008C11F7">
        <w:rPr>
          <w:rFonts w:ascii="Arial" w:hAnsi="Arial" w:cs="Arial"/>
          <w:color w:val="000000" w:themeColor="text1"/>
          <w:sz w:val="24"/>
        </w:rPr>
        <w:t>prescriptivista</w:t>
      </w:r>
      <w:proofErr w:type="spellEnd"/>
      <w:r w:rsidRPr="008C11F7">
        <w:rPr>
          <w:rFonts w:ascii="Arial" w:hAnsi="Arial" w:cs="Arial"/>
          <w:color w:val="000000" w:themeColor="text1"/>
          <w:sz w:val="24"/>
        </w:rPr>
        <w:t xml:space="preserve"> y también en una perspectiva </w:t>
      </w:r>
      <w:proofErr w:type="spellStart"/>
      <w:r w:rsidRPr="008C11F7">
        <w:rPr>
          <w:rFonts w:ascii="Arial" w:hAnsi="Arial" w:cs="Arial"/>
          <w:color w:val="000000" w:themeColor="text1"/>
          <w:sz w:val="24"/>
        </w:rPr>
        <w:t>deontologista</w:t>
      </w:r>
      <w:proofErr w:type="spellEnd"/>
      <w:r w:rsidRPr="008C11F7">
        <w:rPr>
          <w:rFonts w:ascii="Arial" w:hAnsi="Arial" w:cs="Arial"/>
          <w:color w:val="000000" w:themeColor="text1"/>
          <w:sz w:val="24"/>
        </w:rPr>
        <w:t>. Pero esto no significa que sea incompatible con otros puntos de vista. Es una propuesta teórica, a la par que práctica. Sus principales características serían: un punto de vista moral</w:t>
      </w:r>
      <w:r w:rsidRPr="008C11F7">
        <w:rPr>
          <w:rFonts w:ascii="Arial" w:hAnsi="Arial" w:cs="Arial"/>
          <w:color w:val="000000" w:themeColor="text1"/>
          <w:sz w:val="24"/>
        </w:rPr>
        <w:t xml:space="preserve">, el diálogo, la racionalidad práctica y la coherencia y universalidad (relacionadas con la idea de imparcialidad). </w:t>
      </w:r>
    </w:p>
    <w:p w:rsidR="00292EB7" w:rsidRPr="008C11F7" w:rsidRDefault="00951870">
      <w:pPr>
        <w:spacing w:after="153" w:line="259" w:lineRule="auto"/>
        <w:ind w:left="360" w:firstLine="0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</w:rPr>
        <w:t xml:space="preserve"> </w:t>
      </w:r>
    </w:p>
    <w:p w:rsidR="00292EB7" w:rsidRPr="008C11F7" w:rsidRDefault="00951870" w:rsidP="008C11F7">
      <w:pPr>
        <w:spacing w:after="158" w:line="259" w:lineRule="auto"/>
        <w:ind w:left="360" w:firstLine="0"/>
        <w:rPr>
          <w:rFonts w:ascii="Arial" w:hAnsi="Arial" w:cs="Arial"/>
          <w:color w:val="000000" w:themeColor="text1"/>
          <w:u w:val="single"/>
        </w:rPr>
      </w:pPr>
      <w:r w:rsidRPr="008C11F7">
        <w:rPr>
          <w:rFonts w:ascii="Arial" w:hAnsi="Arial" w:cs="Arial"/>
          <w:color w:val="000000" w:themeColor="text1"/>
          <w:u w:val="single"/>
        </w:rPr>
        <w:t>Objetivos</w:t>
      </w:r>
      <w:r w:rsidRPr="008C11F7">
        <w:rPr>
          <w:rFonts w:ascii="Arial" w:hAnsi="Arial" w:cs="Arial"/>
          <w:color w:val="000000" w:themeColor="text1"/>
          <w:u w:val="single"/>
        </w:rPr>
        <w:t xml:space="preserve">: </w:t>
      </w:r>
    </w:p>
    <w:p w:rsidR="00292EB7" w:rsidRPr="008C11F7" w:rsidRDefault="00951870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Todo profesional está y debe estar sometido a controles sociales más o menos rigurosos que permitan exigirle responsabilidades de muy diversa índole en relación con sus actos, de ahí la necesidad de establecer unos principios éticos. </w:t>
      </w:r>
    </w:p>
    <w:p w:rsidR="00292EB7" w:rsidRPr="008C11F7" w:rsidRDefault="00951870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Independientemente de</w:t>
      </w:r>
      <w:r w:rsidRPr="008C11F7">
        <w:rPr>
          <w:rFonts w:ascii="Arial" w:hAnsi="Arial" w:cs="Arial"/>
          <w:color w:val="000000" w:themeColor="text1"/>
          <w:sz w:val="24"/>
        </w:rPr>
        <w:t xml:space="preserve"> la propia conciencia, que debiera ser quién más rigiera el cumplimiento de los códigos morales, existe la figura de los colegios profesionales para mantener, promover y defender la deontología. Éstos vigilan el cumplimiento de determinados niveles de exig</w:t>
      </w:r>
      <w:r w:rsidRPr="008C11F7">
        <w:rPr>
          <w:rFonts w:ascii="Arial" w:hAnsi="Arial" w:cs="Arial"/>
          <w:color w:val="000000" w:themeColor="text1"/>
          <w:sz w:val="24"/>
        </w:rPr>
        <w:t xml:space="preserve">encia, de competencia y de calidad en el desempeño del trabajo de sus colegiados. </w:t>
      </w:r>
    </w:p>
    <w:p w:rsidR="00292EB7" w:rsidRDefault="00951870" w:rsidP="008C11F7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lastRenderedPageBreak/>
        <w:t>La deontología es de sumo interés para el mundo profesional, y en concreto, para profesiones que comportan una elevada responsabilidad social (médicos, abogados, docentes, p</w:t>
      </w:r>
      <w:r w:rsidRPr="008C11F7">
        <w:rPr>
          <w:rFonts w:ascii="Arial" w:hAnsi="Arial" w:cs="Arial"/>
          <w:color w:val="000000" w:themeColor="text1"/>
          <w:sz w:val="24"/>
        </w:rPr>
        <w:t xml:space="preserve">sicólogos, </w:t>
      </w:r>
      <w:r w:rsidRPr="008C11F7">
        <w:rPr>
          <w:rFonts w:ascii="Arial" w:hAnsi="Arial" w:cs="Arial"/>
          <w:color w:val="000000" w:themeColor="text1"/>
          <w:sz w:val="24"/>
        </w:rPr>
        <w:t xml:space="preserve">periodistas…). Esa deontología busca un equilibrio entre un </w:t>
      </w:r>
      <w:r w:rsidRPr="008C11F7">
        <w:rPr>
          <w:rFonts w:ascii="Arial" w:hAnsi="Arial" w:cs="Arial"/>
          <w:color w:val="000000" w:themeColor="text1"/>
          <w:sz w:val="24"/>
        </w:rPr>
        <w:t xml:space="preserve">determinado estilo de vida moral (lo que antes denominábamos </w:t>
      </w:r>
      <w:proofErr w:type="spellStart"/>
      <w:r w:rsidRPr="008C11F7">
        <w:rPr>
          <w:rFonts w:ascii="Arial" w:hAnsi="Arial" w:cs="Arial"/>
          <w:color w:val="000000" w:themeColor="text1"/>
          <w:sz w:val="24"/>
        </w:rPr>
        <w:t>êthos</w:t>
      </w:r>
      <w:proofErr w:type="spellEnd"/>
      <w:r w:rsidRPr="008C11F7">
        <w:rPr>
          <w:rFonts w:ascii="Arial" w:hAnsi="Arial" w:cs="Arial"/>
          <w:color w:val="000000" w:themeColor="text1"/>
          <w:sz w:val="24"/>
        </w:rPr>
        <w:t xml:space="preserve"> o carácter moral) y un alto nivel de profesionalidad </w:t>
      </w:r>
      <w:r w:rsidR="004B1EFF" w:rsidRPr="008C11F7">
        <w:rPr>
          <w:rFonts w:ascii="Arial" w:hAnsi="Arial" w:cs="Arial"/>
          <w:color w:val="000000" w:themeColor="text1"/>
          <w:sz w:val="24"/>
        </w:rPr>
        <w:t>técnico científica</w:t>
      </w:r>
      <w:bookmarkStart w:id="0" w:name="_GoBack"/>
      <w:bookmarkEnd w:id="0"/>
      <w:r w:rsidRPr="008C11F7">
        <w:rPr>
          <w:rFonts w:ascii="Arial" w:hAnsi="Arial" w:cs="Arial"/>
          <w:color w:val="000000" w:themeColor="text1"/>
          <w:sz w:val="24"/>
        </w:rPr>
        <w:t>. Esta doble dimensión ha de tratarse con armoní</w:t>
      </w:r>
      <w:r w:rsidRPr="008C11F7">
        <w:rPr>
          <w:rFonts w:ascii="Arial" w:hAnsi="Arial" w:cs="Arial"/>
          <w:color w:val="000000" w:themeColor="text1"/>
          <w:sz w:val="24"/>
        </w:rPr>
        <w:t xml:space="preserve">a y equilibrio para una mayor dignificación </w:t>
      </w:r>
      <w:r w:rsidR="008C11F7">
        <w:rPr>
          <w:rFonts w:ascii="Arial" w:hAnsi="Arial" w:cs="Arial"/>
          <w:color w:val="000000" w:themeColor="text1"/>
          <w:sz w:val="24"/>
        </w:rPr>
        <w:t>de cualquier actividad laboral</w:t>
      </w:r>
    </w:p>
    <w:p w:rsidR="008C11F7" w:rsidRPr="008C11F7" w:rsidRDefault="008C11F7" w:rsidP="008C11F7">
      <w:pPr>
        <w:ind w:left="355"/>
        <w:rPr>
          <w:rFonts w:ascii="Arial" w:hAnsi="Arial" w:cs="Arial"/>
          <w:color w:val="000000" w:themeColor="text1"/>
          <w:sz w:val="24"/>
        </w:rPr>
      </w:pPr>
    </w:p>
    <w:p w:rsidR="00292EB7" w:rsidRPr="008C11F7" w:rsidRDefault="00951870" w:rsidP="008C11F7">
      <w:pPr>
        <w:spacing w:after="156" w:line="259" w:lineRule="auto"/>
        <w:ind w:left="355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  <w:u w:val="single" w:color="707070"/>
        </w:rPr>
        <w:t>Ética y moral</w:t>
      </w:r>
      <w:r w:rsidRPr="008C11F7">
        <w:rPr>
          <w:rFonts w:ascii="Arial" w:hAnsi="Arial" w:cs="Arial"/>
          <w:color w:val="000000" w:themeColor="text1"/>
        </w:rPr>
        <w:t xml:space="preserve">: </w:t>
      </w:r>
    </w:p>
    <w:p w:rsidR="00292EB7" w:rsidRPr="008C11F7" w:rsidRDefault="00951870" w:rsidP="008C11F7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La moral hace referencia a todas aquellas normas de conducta que son impuestas por la sociedad. </w:t>
      </w:r>
    </w:p>
    <w:p w:rsidR="008C11F7" w:rsidRDefault="00951870" w:rsidP="008C11F7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Por su parte, la ética es el hecho real que se da en la ment</w:t>
      </w:r>
      <w:r w:rsidRPr="008C11F7">
        <w:rPr>
          <w:rFonts w:ascii="Arial" w:hAnsi="Arial" w:cs="Arial"/>
          <w:color w:val="000000" w:themeColor="text1"/>
          <w:sz w:val="24"/>
        </w:rPr>
        <w:t>alidad de algunas personas, es un conjunto de normas, principio y razones que un sujeto ha realizado y establecido como una línea d</w:t>
      </w:r>
      <w:r w:rsidR="008C11F7">
        <w:rPr>
          <w:rFonts w:ascii="Arial" w:hAnsi="Arial" w:cs="Arial"/>
          <w:color w:val="000000" w:themeColor="text1"/>
          <w:sz w:val="24"/>
        </w:rPr>
        <w:t>irectriz de su propia conducta.</w:t>
      </w:r>
    </w:p>
    <w:p w:rsidR="008C11F7" w:rsidRPr="008C11F7" w:rsidRDefault="008C11F7" w:rsidP="008C11F7">
      <w:pPr>
        <w:ind w:left="355"/>
        <w:rPr>
          <w:rFonts w:ascii="Arial" w:hAnsi="Arial" w:cs="Arial"/>
          <w:color w:val="000000" w:themeColor="text1"/>
          <w:sz w:val="24"/>
        </w:rPr>
      </w:pPr>
    </w:p>
    <w:p w:rsidR="00292EB7" w:rsidRPr="008C11F7" w:rsidRDefault="00951870">
      <w:pPr>
        <w:spacing w:after="158" w:line="259" w:lineRule="auto"/>
        <w:ind w:left="360" w:firstLine="0"/>
        <w:rPr>
          <w:rFonts w:ascii="Arial" w:hAnsi="Arial" w:cs="Arial"/>
          <w:color w:val="000000" w:themeColor="text1"/>
          <w:u w:val="single"/>
        </w:rPr>
      </w:pPr>
      <w:r w:rsidRPr="008C11F7">
        <w:rPr>
          <w:rFonts w:ascii="Arial" w:hAnsi="Arial" w:cs="Arial"/>
          <w:color w:val="000000" w:themeColor="text1"/>
          <w:u w:val="single"/>
        </w:rPr>
        <w:t>Deontología del Profesional</w:t>
      </w:r>
      <w:r w:rsidRPr="008C11F7">
        <w:rPr>
          <w:rFonts w:ascii="Arial" w:hAnsi="Arial" w:cs="Arial"/>
          <w:color w:val="000000" w:themeColor="text1"/>
          <w:u w:val="single"/>
        </w:rPr>
        <w:t xml:space="preserve">: </w:t>
      </w:r>
    </w:p>
    <w:p w:rsidR="00292EB7" w:rsidRPr="008C11F7" w:rsidRDefault="00951870">
      <w:pPr>
        <w:ind w:left="355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Estos dos términos suelen usarse como sinónimos, pero no </w:t>
      </w:r>
      <w:r w:rsidRPr="008C11F7">
        <w:rPr>
          <w:rFonts w:ascii="Arial" w:hAnsi="Arial" w:cs="Arial"/>
          <w:color w:val="000000" w:themeColor="text1"/>
          <w:sz w:val="24"/>
        </w:rPr>
        <w:t xml:space="preserve">lo son. Es importante destacar las principales diferencias entre ellos: </w:t>
      </w:r>
    </w:p>
    <w:p w:rsidR="00292EB7" w:rsidRPr="008C11F7" w:rsidRDefault="00951870">
      <w:pPr>
        <w:spacing w:after="0" w:line="259" w:lineRule="auto"/>
        <w:ind w:left="360" w:firstLine="0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</w:rPr>
        <w:t xml:space="preserve"> </w:t>
      </w:r>
    </w:p>
    <w:p w:rsidR="00292EB7" w:rsidRPr="008C11F7" w:rsidRDefault="00951870" w:rsidP="008C11F7">
      <w:pPr>
        <w:spacing w:after="156" w:line="259" w:lineRule="auto"/>
        <w:ind w:left="355"/>
        <w:rPr>
          <w:rFonts w:ascii="Arial" w:hAnsi="Arial" w:cs="Arial"/>
          <w:color w:val="000000" w:themeColor="text1"/>
          <w:u w:val="single"/>
        </w:rPr>
      </w:pPr>
      <w:r w:rsidRPr="008C11F7">
        <w:rPr>
          <w:rFonts w:ascii="Arial" w:hAnsi="Arial" w:cs="Arial"/>
          <w:color w:val="000000" w:themeColor="text1"/>
          <w:u w:val="single" w:color="707070"/>
        </w:rPr>
        <w:t>Deontología Profesional</w:t>
      </w:r>
      <w:r w:rsidRPr="008C11F7">
        <w:rPr>
          <w:rFonts w:ascii="Arial" w:hAnsi="Arial" w:cs="Arial"/>
          <w:color w:val="000000" w:themeColor="text1"/>
          <w:u w:val="single"/>
        </w:rPr>
        <w:t xml:space="preserve">: </w:t>
      </w:r>
    </w:p>
    <w:p w:rsidR="00292EB7" w:rsidRPr="008C11F7" w:rsidRDefault="00951870" w:rsidP="008C11F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Orientada al deber </w:t>
      </w:r>
    </w:p>
    <w:p w:rsidR="00292EB7" w:rsidRPr="008C11F7" w:rsidRDefault="00951870" w:rsidP="008C11F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Recogida en normas y códigos "deontológicos" </w:t>
      </w:r>
    </w:p>
    <w:p w:rsidR="00292EB7" w:rsidRPr="008C11F7" w:rsidRDefault="00951870" w:rsidP="008C11F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Esas normas y códigos son mínimos y aprobados por los profesionales de un determinado colectivo profesional (pe</w:t>
      </w:r>
      <w:r w:rsidR="008C11F7" w:rsidRPr="008C11F7">
        <w:rPr>
          <w:rFonts w:ascii="Arial" w:hAnsi="Arial" w:cs="Arial"/>
          <w:color w:val="000000" w:themeColor="text1"/>
          <w:sz w:val="24"/>
        </w:rPr>
        <w:t>riodistas, médicos, abogados</w:t>
      </w:r>
      <w:r w:rsidRPr="008C11F7">
        <w:rPr>
          <w:rFonts w:ascii="Arial" w:hAnsi="Arial" w:cs="Arial"/>
          <w:color w:val="000000" w:themeColor="text1"/>
          <w:sz w:val="24"/>
        </w:rPr>
        <w:t xml:space="preserve">) </w:t>
      </w:r>
    </w:p>
    <w:p w:rsidR="00292EB7" w:rsidRPr="008C11F7" w:rsidRDefault="00951870">
      <w:pPr>
        <w:spacing w:after="158" w:line="259" w:lineRule="auto"/>
        <w:ind w:left="360" w:firstLine="0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</w:rPr>
        <w:t xml:space="preserve"> </w:t>
      </w:r>
    </w:p>
    <w:p w:rsidR="00292EB7" w:rsidRPr="008C11F7" w:rsidRDefault="00951870" w:rsidP="008C11F7">
      <w:pPr>
        <w:spacing w:after="156" w:line="259" w:lineRule="auto"/>
        <w:ind w:left="355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  <w:u w:val="single" w:color="707070"/>
        </w:rPr>
        <w:t>Ética profesional</w:t>
      </w:r>
      <w:r w:rsidR="008C11F7" w:rsidRPr="008C11F7">
        <w:rPr>
          <w:rFonts w:ascii="Arial" w:hAnsi="Arial" w:cs="Arial"/>
          <w:color w:val="000000" w:themeColor="text1"/>
        </w:rPr>
        <w:t>:</w:t>
      </w:r>
    </w:p>
    <w:p w:rsidR="00292EB7" w:rsidRPr="008C11F7" w:rsidRDefault="00951870" w:rsidP="008C11F7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Orientada al bien, a lo bueno </w:t>
      </w:r>
    </w:p>
    <w:p w:rsidR="00292EB7" w:rsidRPr="008C11F7" w:rsidRDefault="00951870" w:rsidP="008C11F7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No se encuentra recogida en normas ni en códigos deo</w:t>
      </w:r>
      <w:r w:rsidRPr="008C11F7">
        <w:rPr>
          <w:rFonts w:ascii="Arial" w:hAnsi="Arial" w:cs="Arial"/>
          <w:color w:val="000000" w:themeColor="text1"/>
          <w:sz w:val="24"/>
        </w:rPr>
        <w:t xml:space="preserve">ntológicos, está relacionada con lo que piensa el propio individuo (conciencia individual/profesional) </w:t>
      </w:r>
    </w:p>
    <w:p w:rsidR="00292EB7" w:rsidRPr="008C11F7" w:rsidRDefault="00951870" w:rsidP="008C11F7">
      <w:pPr>
        <w:pStyle w:val="Prrafodelista"/>
        <w:numPr>
          <w:ilvl w:val="0"/>
          <w:numId w:val="3"/>
        </w:numPr>
        <w:spacing w:after="8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No es exigible a los profesionales de un determinado colectivo </w:t>
      </w:r>
    </w:p>
    <w:p w:rsidR="008C11F7" w:rsidRDefault="00951870" w:rsidP="008C11F7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(periodistas, médicos, abogados</w:t>
      </w:r>
      <w:r w:rsidRPr="008C11F7">
        <w:rPr>
          <w:rFonts w:ascii="Arial" w:hAnsi="Arial" w:cs="Arial"/>
          <w:color w:val="000000" w:themeColor="text1"/>
          <w:sz w:val="24"/>
        </w:rPr>
        <w:t xml:space="preserve">) </w:t>
      </w:r>
    </w:p>
    <w:p w:rsidR="00F27570" w:rsidRDefault="00F27570" w:rsidP="008C11F7">
      <w:pPr>
        <w:rPr>
          <w:rFonts w:ascii="Arial" w:hAnsi="Arial" w:cs="Arial"/>
          <w:color w:val="000000" w:themeColor="text1"/>
          <w:sz w:val="24"/>
        </w:rPr>
      </w:pPr>
    </w:p>
    <w:p w:rsidR="00292EB7" w:rsidRPr="008C11F7" w:rsidRDefault="00951870" w:rsidP="008C11F7">
      <w:p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lastRenderedPageBreak/>
        <w:t>Una de las diferencias cuando hablamos de "étic</w:t>
      </w:r>
      <w:r w:rsidRPr="008C11F7">
        <w:rPr>
          <w:rFonts w:ascii="Arial" w:hAnsi="Arial" w:cs="Arial"/>
          <w:color w:val="000000" w:themeColor="text1"/>
          <w:sz w:val="24"/>
        </w:rPr>
        <w:t>a" y "deontología" es que la primera hace directamente referencia a la conciencia personal, mientras que la segunda adopta una función de modelo de actuación e</w:t>
      </w:r>
      <w:r w:rsidR="008C11F7" w:rsidRPr="008C11F7">
        <w:rPr>
          <w:rFonts w:ascii="Arial" w:hAnsi="Arial" w:cs="Arial"/>
          <w:color w:val="000000" w:themeColor="text1"/>
          <w:sz w:val="24"/>
        </w:rPr>
        <w:t>n el área de una colectividad.</w:t>
      </w:r>
    </w:p>
    <w:p w:rsidR="008C11F7" w:rsidRDefault="008C11F7" w:rsidP="008C11F7">
      <w:pPr>
        <w:ind w:left="0" w:firstLine="0"/>
        <w:rPr>
          <w:rFonts w:ascii="Arial" w:hAnsi="Arial" w:cs="Arial"/>
          <w:color w:val="000000" w:themeColor="text1"/>
          <w:sz w:val="24"/>
        </w:rPr>
      </w:pPr>
    </w:p>
    <w:p w:rsidR="008C11F7" w:rsidRPr="008C11F7" w:rsidRDefault="008C11F7" w:rsidP="008C11F7">
      <w:pPr>
        <w:ind w:left="0" w:firstLine="0"/>
        <w:rPr>
          <w:rFonts w:ascii="Arial" w:hAnsi="Arial" w:cs="Arial"/>
          <w:color w:val="000000" w:themeColor="text1"/>
          <w:sz w:val="24"/>
          <w:u w:val="single"/>
        </w:rPr>
      </w:pPr>
      <w:r>
        <w:rPr>
          <w:rFonts w:ascii="Arial" w:hAnsi="Arial" w:cs="Arial"/>
          <w:color w:val="000000" w:themeColor="text1"/>
          <w:sz w:val="24"/>
          <w:u w:val="single"/>
        </w:rPr>
        <w:t>La conciencia profesional:</w:t>
      </w:r>
    </w:p>
    <w:p w:rsidR="00292EB7" w:rsidRPr="008C11F7" w:rsidRDefault="00951870" w:rsidP="008C11F7">
      <w:pPr>
        <w:spacing w:after="158" w:line="259" w:lineRule="auto"/>
        <w:ind w:left="0" w:firstLine="0"/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La conciencia humana es individual, pero tiene varias dimensiones: la conciencia reflexiva (porque es consciente de sí misma) y la conciencia ética, que añade a la conciencia individual la condición de ser, además, una conciencia responsable. </w:t>
      </w:r>
    </w:p>
    <w:p w:rsidR="00292EB7" w:rsidRPr="008C11F7" w:rsidRDefault="00292EB7" w:rsidP="008C11F7">
      <w:pPr>
        <w:spacing w:after="0" w:line="259" w:lineRule="auto"/>
        <w:ind w:left="0" w:firstLine="0"/>
        <w:rPr>
          <w:rFonts w:ascii="Arial" w:hAnsi="Arial" w:cs="Arial"/>
          <w:color w:val="000000" w:themeColor="text1"/>
        </w:rPr>
      </w:pPr>
    </w:p>
    <w:p w:rsidR="00292EB7" w:rsidRPr="00AF09CF" w:rsidRDefault="00951870" w:rsidP="00AF09CF">
      <w:pPr>
        <w:rPr>
          <w:rFonts w:ascii="Arial" w:hAnsi="Arial" w:cs="Arial"/>
          <w:color w:val="000000" w:themeColor="text1"/>
          <w:sz w:val="24"/>
          <w:u w:val="single"/>
        </w:rPr>
      </w:pPr>
      <w:r w:rsidRPr="00AF09CF">
        <w:rPr>
          <w:rFonts w:ascii="Arial" w:hAnsi="Arial" w:cs="Arial"/>
          <w:color w:val="000000" w:themeColor="text1"/>
          <w:sz w:val="24"/>
          <w:u w:val="single"/>
        </w:rPr>
        <w:t>Se puede</w:t>
      </w:r>
      <w:r w:rsidRPr="00AF09CF">
        <w:rPr>
          <w:rFonts w:ascii="Arial" w:hAnsi="Arial" w:cs="Arial"/>
          <w:color w:val="000000" w:themeColor="text1"/>
          <w:sz w:val="24"/>
          <w:u w:val="single"/>
        </w:rPr>
        <w:t xml:space="preserve"> hablar de cuatro niveles de la conciencia profesional: </w:t>
      </w:r>
    </w:p>
    <w:p w:rsidR="00292EB7" w:rsidRPr="008C11F7" w:rsidRDefault="00951870" w:rsidP="00AF09CF">
      <w:p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La conciencia profesional es intransferible e individual, nadie es respon</w:t>
      </w:r>
      <w:r w:rsidR="00AF09CF">
        <w:rPr>
          <w:rFonts w:ascii="Arial" w:hAnsi="Arial" w:cs="Arial"/>
          <w:color w:val="000000" w:themeColor="text1"/>
          <w:sz w:val="24"/>
        </w:rPr>
        <w:t>sable por ninguna otra persona.</w:t>
      </w:r>
    </w:p>
    <w:p w:rsidR="00292EB7" w:rsidRPr="008C11F7" w:rsidRDefault="00951870" w:rsidP="00AF09CF">
      <w:p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Nivel de los deberes específicos, aprendidos, asumidos y personalizados por socialización</w:t>
      </w:r>
      <w:r w:rsidRPr="008C11F7">
        <w:rPr>
          <w:rFonts w:ascii="Arial" w:hAnsi="Arial" w:cs="Arial"/>
          <w:color w:val="000000" w:themeColor="text1"/>
          <w:sz w:val="24"/>
        </w:rPr>
        <w:t xml:space="preserve"> ética. Cada persona tiene que haberse socializado en el códig</w:t>
      </w:r>
      <w:r w:rsidR="00AF09CF">
        <w:rPr>
          <w:rFonts w:ascii="Arial" w:hAnsi="Arial" w:cs="Arial"/>
          <w:color w:val="000000" w:themeColor="text1"/>
          <w:sz w:val="24"/>
        </w:rPr>
        <w:t>o deontológico de su profesión.</w:t>
      </w:r>
    </w:p>
    <w:p w:rsidR="00292EB7" w:rsidRPr="008C11F7" w:rsidRDefault="00951870" w:rsidP="00AF09CF">
      <w:p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>Nivel de madurez y equilibrio psíquico. Para que la conciencia profesional pueda funcionar hay que gozar</w:t>
      </w:r>
      <w:r w:rsidR="00AF09CF">
        <w:rPr>
          <w:rFonts w:ascii="Arial" w:hAnsi="Arial" w:cs="Arial"/>
          <w:color w:val="000000" w:themeColor="text1"/>
          <w:sz w:val="24"/>
        </w:rPr>
        <w:t xml:space="preserve"> de un grado de madurez mínimo.</w:t>
      </w:r>
    </w:p>
    <w:p w:rsidR="00292EB7" w:rsidRPr="008C11F7" w:rsidRDefault="00951870" w:rsidP="008C11F7">
      <w:pPr>
        <w:rPr>
          <w:rFonts w:ascii="Arial" w:hAnsi="Arial" w:cs="Arial"/>
          <w:color w:val="000000" w:themeColor="text1"/>
          <w:sz w:val="24"/>
        </w:rPr>
      </w:pPr>
      <w:r w:rsidRPr="008C11F7">
        <w:rPr>
          <w:rFonts w:ascii="Arial" w:hAnsi="Arial" w:cs="Arial"/>
          <w:color w:val="000000" w:themeColor="text1"/>
          <w:sz w:val="24"/>
        </w:rPr>
        <w:t xml:space="preserve">Aptitud profesional </w:t>
      </w:r>
      <w:r w:rsidRPr="008C11F7">
        <w:rPr>
          <w:rFonts w:ascii="Arial" w:hAnsi="Arial" w:cs="Arial"/>
          <w:color w:val="000000" w:themeColor="text1"/>
          <w:sz w:val="24"/>
        </w:rPr>
        <w:t>para el ej</w:t>
      </w:r>
      <w:r w:rsidR="00AF09CF">
        <w:rPr>
          <w:rFonts w:ascii="Arial" w:hAnsi="Arial" w:cs="Arial"/>
          <w:color w:val="000000" w:themeColor="text1"/>
          <w:sz w:val="24"/>
        </w:rPr>
        <w:t>ercicio digno de una profesión.</w:t>
      </w:r>
    </w:p>
    <w:p w:rsidR="00292EB7" w:rsidRPr="008C11F7" w:rsidRDefault="00292EB7" w:rsidP="00AF09CF">
      <w:pPr>
        <w:spacing w:after="153" w:line="259" w:lineRule="auto"/>
        <w:ind w:left="0" w:firstLine="0"/>
        <w:rPr>
          <w:rFonts w:ascii="Arial" w:hAnsi="Arial" w:cs="Arial"/>
          <w:color w:val="000000" w:themeColor="text1"/>
        </w:rPr>
      </w:pPr>
    </w:p>
    <w:p w:rsidR="00292EB7" w:rsidRPr="008C11F7" w:rsidRDefault="00951870" w:rsidP="00AF09CF">
      <w:pPr>
        <w:spacing w:after="98" w:line="259" w:lineRule="auto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  <w:u w:val="single" w:color="000000"/>
        </w:rPr>
        <w:t>Cuadro Comparativo</w:t>
      </w:r>
      <w:r w:rsidRPr="008C11F7">
        <w:rPr>
          <w:rFonts w:ascii="Arial" w:hAnsi="Arial" w:cs="Arial"/>
          <w:color w:val="000000" w:themeColor="text1"/>
        </w:rPr>
        <w:t xml:space="preserve">: </w:t>
      </w:r>
    </w:p>
    <w:p w:rsidR="00292EB7" w:rsidRPr="008C11F7" w:rsidRDefault="00951870">
      <w:pPr>
        <w:spacing w:after="0" w:line="259" w:lineRule="auto"/>
        <w:ind w:left="360" w:firstLine="0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  <w:sz w:val="22"/>
        </w:rPr>
        <w:t xml:space="preserve"> </w:t>
      </w:r>
    </w:p>
    <w:tbl>
      <w:tblPr>
        <w:tblStyle w:val="TableGrid"/>
        <w:tblW w:w="5247" w:type="dxa"/>
        <w:tblInd w:w="5" w:type="dxa"/>
        <w:tblCellMar>
          <w:top w:w="44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761"/>
        <w:gridCol w:w="1695"/>
        <w:gridCol w:w="1791"/>
      </w:tblGrid>
      <w:tr w:rsidR="008C11F7" w:rsidRPr="008C11F7">
        <w:trPr>
          <w:trHeight w:val="52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0" w:line="259" w:lineRule="auto"/>
              <w:ind w:left="4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Bentham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0" w:line="259" w:lineRule="auto"/>
              <w:ind w:left="4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Emmanuel </w:t>
            </w:r>
          </w:p>
          <w:p w:rsidR="00292EB7" w:rsidRPr="008C11F7" w:rsidRDefault="00951870">
            <w:pPr>
              <w:spacing w:after="0" w:line="259" w:lineRule="auto"/>
              <w:ind w:left="4" w:firstLine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C11F7">
              <w:rPr>
                <w:rFonts w:ascii="Arial" w:hAnsi="Arial" w:cs="Arial"/>
                <w:color w:val="000000" w:themeColor="text1"/>
                <w:sz w:val="22"/>
              </w:rPr>
              <w:t>Derieux</w:t>
            </w:r>
            <w:proofErr w:type="spellEnd"/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Kant </w:t>
            </w:r>
          </w:p>
        </w:tc>
      </w:tr>
      <w:tr w:rsidR="008C11F7" w:rsidRPr="008C11F7">
        <w:trPr>
          <w:trHeight w:val="362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3" w:line="238" w:lineRule="auto"/>
              <w:ind w:left="4" w:right="86" w:firstLine="0"/>
              <w:jc w:val="both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Se aplica al ámbito de la moral, conducta </w:t>
            </w:r>
          </w:p>
          <w:p w:rsidR="00292EB7" w:rsidRPr="008C11F7" w:rsidRDefault="00951870">
            <w:pPr>
              <w:spacing w:after="0" w:line="259" w:lineRule="auto"/>
              <w:ind w:left="4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que adopta el hombre individualmente que no forma parte de las normativas.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0" w:line="259" w:lineRule="auto"/>
              <w:ind w:left="4" w:right="17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Sostuvo que gracias a la deontología la ética profesional adquiere un reconocimiento </w:t>
            </w:r>
            <w:r w:rsidR="00F27570" w:rsidRPr="008C11F7">
              <w:rPr>
                <w:rFonts w:ascii="Arial" w:hAnsi="Arial" w:cs="Arial"/>
                <w:color w:val="000000" w:themeColor="text1"/>
                <w:sz w:val="22"/>
              </w:rPr>
              <w:t>público</w:t>
            </w: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; y es que la moral individual se hace trascendente en el campo de la profesión.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2" w:line="238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Define la deontología como referencia al deber y las obligaciones, </w:t>
            </w: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enfoca una ética del deber la cual establece pautas de </w:t>
            </w:r>
          </w:p>
          <w:p w:rsidR="00292EB7" w:rsidRPr="008C11F7" w:rsidRDefault="00951870">
            <w:pPr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comportamiento que se deben seguir. </w:t>
            </w:r>
          </w:p>
        </w:tc>
      </w:tr>
      <w:tr w:rsidR="008C11F7" w:rsidRPr="008C11F7">
        <w:trPr>
          <w:trHeight w:val="104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3" w:line="238" w:lineRule="auto"/>
              <w:ind w:left="4" w:right="28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lastRenderedPageBreak/>
              <w:t xml:space="preserve">Considera que la deontología es el </w:t>
            </w:r>
          </w:p>
          <w:p w:rsidR="00292EB7" w:rsidRPr="008C11F7" w:rsidRDefault="00951870">
            <w:pPr>
              <w:spacing w:after="0" w:line="259" w:lineRule="auto"/>
              <w:ind w:left="4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utilitarismo, lo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0" w:line="259" w:lineRule="auto"/>
              <w:ind w:left="4" w:right="42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La deontología surge como una disciplina que se ocupa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0" w:line="259" w:lineRule="auto"/>
              <w:ind w:left="0" w:right="212" w:firstLine="0"/>
              <w:jc w:val="both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Este olvido por completo el sentimiento humano según </w:t>
            </w:r>
          </w:p>
        </w:tc>
      </w:tr>
      <w:tr w:rsidR="008C11F7" w:rsidRPr="008C11F7">
        <w:trPr>
          <w:trHeight w:val="233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0" w:line="259" w:lineRule="auto"/>
              <w:ind w:left="4" w:right="11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que significa que los actos de las personas se consideras buenos o malos en función de la felicidad global que pueda generar.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0" w:line="259" w:lineRule="auto"/>
              <w:ind w:left="4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de concretar normas en el ámbito profesional para alcanzar unos fines.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B7" w:rsidRPr="008C11F7" w:rsidRDefault="00951870">
            <w:pPr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  <w:r w:rsidRPr="008C11F7">
              <w:rPr>
                <w:rFonts w:ascii="Arial" w:hAnsi="Arial" w:cs="Arial"/>
                <w:color w:val="000000" w:themeColor="text1"/>
                <w:sz w:val="22"/>
              </w:rPr>
              <w:t>el debemos actuar en base al deber y no en base a lo qu</w:t>
            </w:r>
            <w:r w:rsidRPr="008C11F7">
              <w:rPr>
                <w:rFonts w:ascii="Arial" w:hAnsi="Arial" w:cs="Arial"/>
                <w:color w:val="000000" w:themeColor="text1"/>
                <w:sz w:val="22"/>
              </w:rPr>
              <w:t xml:space="preserve">e queremos hacer. </w:t>
            </w:r>
          </w:p>
        </w:tc>
      </w:tr>
    </w:tbl>
    <w:p w:rsidR="00292EB7" w:rsidRPr="008C11F7" w:rsidRDefault="00951870">
      <w:pPr>
        <w:spacing w:after="0" w:line="259" w:lineRule="auto"/>
        <w:ind w:left="360" w:firstLine="0"/>
        <w:jc w:val="both"/>
        <w:rPr>
          <w:rFonts w:ascii="Arial" w:hAnsi="Arial" w:cs="Arial"/>
          <w:color w:val="000000" w:themeColor="text1"/>
        </w:rPr>
      </w:pPr>
      <w:r w:rsidRPr="008C11F7">
        <w:rPr>
          <w:rFonts w:ascii="Arial" w:hAnsi="Arial" w:cs="Arial"/>
          <w:color w:val="000000" w:themeColor="text1"/>
          <w:sz w:val="22"/>
        </w:rPr>
        <w:t xml:space="preserve"> </w:t>
      </w:r>
    </w:p>
    <w:sectPr w:rsidR="00292EB7" w:rsidRPr="008C11F7">
      <w:footerReference w:type="even" r:id="rId7"/>
      <w:footerReference w:type="default" r:id="rId8"/>
      <w:footerReference w:type="first" r:id="rId9"/>
      <w:pgSz w:w="11905" w:h="16840"/>
      <w:pgMar w:top="1446" w:right="1814" w:bottom="1121" w:left="18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870" w:rsidRDefault="00951870">
      <w:pPr>
        <w:spacing w:after="0" w:line="240" w:lineRule="auto"/>
      </w:pPr>
      <w:r>
        <w:separator/>
      </w:r>
    </w:p>
  </w:endnote>
  <w:endnote w:type="continuationSeparator" w:id="0">
    <w:p w:rsidR="00951870" w:rsidRDefault="00951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7" w:rsidRDefault="0095187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7" w:rsidRDefault="0095187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 w:rsidR="004B1EFF" w:rsidRPr="004B1EFF">
      <w:rPr>
        <w:noProof/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7" w:rsidRDefault="00292EB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870" w:rsidRDefault="00951870">
      <w:pPr>
        <w:spacing w:after="0" w:line="240" w:lineRule="auto"/>
      </w:pPr>
      <w:r>
        <w:separator/>
      </w:r>
    </w:p>
  </w:footnote>
  <w:footnote w:type="continuationSeparator" w:id="0">
    <w:p w:rsidR="00951870" w:rsidRDefault="00951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329"/>
    <w:multiLevelType w:val="hybridMultilevel"/>
    <w:tmpl w:val="7DFCA188"/>
    <w:lvl w:ilvl="0" w:tplc="2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E3F2710"/>
    <w:multiLevelType w:val="hybridMultilevel"/>
    <w:tmpl w:val="765ACDA2"/>
    <w:lvl w:ilvl="0" w:tplc="2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10E5AC2"/>
    <w:multiLevelType w:val="hybridMultilevel"/>
    <w:tmpl w:val="35DEF7D2"/>
    <w:lvl w:ilvl="0" w:tplc="FEF49862">
      <w:start w:val="1"/>
      <w:numFmt w:val="decimal"/>
      <w:lvlText w:val="%1)"/>
      <w:lvlJc w:val="left"/>
      <w:pPr>
        <w:ind w:left="665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802E0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DA85B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48EA1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5897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7259F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E018C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FC557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9A6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70707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B7"/>
    <w:rsid w:val="00292EB7"/>
    <w:rsid w:val="004B1EFF"/>
    <w:rsid w:val="008C11F7"/>
    <w:rsid w:val="00951870"/>
    <w:rsid w:val="00AF09CF"/>
    <w:rsid w:val="00F2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7207"/>
  <w15:docId w15:val="{9B393162-0D74-4893-B915-F83A74ED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85" w:lineRule="auto"/>
      <w:ind w:left="10" w:hanging="10"/>
    </w:pPr>
    <w:rPr>
      <w:rFonts w:ascii="Cambria" w:eastAsia="Cambria" w:hAnsi="Cambria" w:cs="Cambria"/>
      <w:color w:val="70707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C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González</dc:creator>
  <cp:keywords/>
  <cp:lastModifiedBy>Gabriel González</cp:lastModifiedBy>
  <cp:revision>4</cp:revision>
  <dcterms:created xsi:type="dcterms:W3CDTF">2020-04-16T02:27:00Z</dcterms:created>
  <dcterms:modified xsi:type="dcterms:W3CDTF">2020-04-16T02:28:00Z</dcterms:modified>
</cp:coreProperties>
</file>