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Final - Laboratório 04 (Sprint 03)</w:t>
      </w:r>
    </w:p>
    <w:p>
      <w:pPr>
        <w:pStyle w:val="Subtitle"/>
        <w:jc w:val="center"/>
      </w:pPr>
      <w:r>
        <w:t>Visualização de Dados Abertos Governamentais: Despesas da CEAP na Câmara dos Deputados</w:t>
      </w:r>
    </w:p>
    <w:p>
      <w:pPr>
        <w:pBdr>
          <w:bottom w:val="single" w:sz="6" w:space="5" w:color="BFBFBF"/>
        </w:pBdr>
      </w:pPr>
    </w:p>
    <w:p>
      <w:pPr>
        <w:jc w:val="both"/>
      </w:pPr>
      <w:r>
        <w:rPr>
          <w:b/>
        </w:rPr>
        <w:t>Disciplina:</w:t>
      </w:r>
      <w:r>
        <w:t xml:space="preserve"> Laboratório de Experimentação de Software </w:t>
      </w:r>
      <w:r>
        <w:rPr>
          <w:b/>
        </w:rPr>
        <w:t>Curso:</w:t>
      </w:r>
      <w:r>
        <w:t xml:space="preserve"> Engenharia de Software </w:t>
      </w:r>
      <w:r>
        <w:rPr>
          <w:b/>
        </w:rPr>
        <w:t>Professor:</w:t>
      </w:r>
      <w:r>
        <w:t xml:space="preserve"> João Paulo Carneiro Aramuni </w:t>
      </w:r>
      <w:r>
        <w:rPr>
          <w:b/>
        </w:rPr>
        <w:t>Autores:</w:t>
      </w:r>
      <w:r>
        <w:t xml:space="preserve"> </w:t>
      </w:r>
      <w:r>
        <w:rPr>
          <w:i/>
        </w:rPr>
        <w:t>(preencher nomes dos integrantes)</w:t>
      </w:r>
      <w:r>
        <w:t xml:space="preserve"> </w:t>
      </w:r>
      <w:r>
        <w:rPr>
          <w:b/>
        </w:rPr>
        <w:t>Data:</w:t>
      </w:r>
      <w:r>
        <w:t xml:space="preserve"> 28 de maio de 2026 </w:t>
      </w:r>
      <w:r>
        <w:rPr>
          <w:b/>
        </w:rPr>
        <w:t>Repositório:</w:t>
      </w:r>
      <w:r>
        <w:t xml:space="preserve"> </w:t>
      </w:r>
      <w:r>
        <w:rPr>
          <w:color w:val="000000"/>
          <w:u w:val="single"/>
        </w:rPr>
        <w:t>github.com/Miguel-Lessa/lab-medicao (https://github.com/Miguel-Lessa/lab-medicao)</w:t>
      </w:r>
      <w:r>
        <w:t xml:space="preserve"> - pasta </w:t>
      </w:r>
      <w:r>
        <w:rPr>
          <w:rFonts w:ascii="Consolas" w:hAnsi="Consolas"/>
          <w:sz w:val="20"/>
        </w:rPr>
        <w:t>laboratorio4/</w:t>
      </w:r>
    </w:p>
    <w:p>
      <w:pPr>
        <w:pBdr>
          <w:bottom w:val="single" w:sz="6" w:space="5" w:color="BFBFBF"/>
        </w:pBdr>
      </w:pPr>
    </w:p>
    <w:p>
      <w:pPr>
        <w:pStyle w:val="Heading1"/>
      </w:pPr>
      <w:r>
        <w:t>Resumo</w:t>
      </w:r>
    </w:p>
    <w:p>
      <w:pPr>
        <w:jc w:val="both"/>
      </w:pPr>
      <w:r>
        <w:t xml:space="preserve">Este relatório documenta um experimento de Business Intelligence aplicado à </w:t>
      </w:r>
      <w:r>
        <w:rPr>
          <w:b/>
        </w:rPr>
        <w:t>Cota para Exercício da Atividade Parlamentar (CEAP)</w:t>
      </w:r>
      <w:r>
        <w:t xml:space="preserve">, base pública da Câmara dos Deputados. Foram coletados e tratados </w:t>
      </w:r>
      <w:r>
        <w:rPr>
          <w:b/>
        </w:rPr>
        <w:t>1.271.817 lançamentos</w:t>
      </w:r>
      <w:r>
        <w:t xml:space="preserve"> (competência 2020-2025), totalizando </w:t>
      </w:r>
      <w:r>
        <w:rPr>
          <w:b/>
        </w:rPr>
        <w:t>R$ 1.389.844.978,70</w:t>
      </w:r>
      <w:r>
        <w:t xml:space="preserve"> em valor líquido ressarcido. Um dashboard interativo (Streamlit + Plotly) responde a três questões de pesquisa; neste documento são apresentadas </w:t>
      </w:r>
      <w:r>
        <w:rPr>
          <w:b/>
        </w:rPr>
        <w:t>5 figuras essenciais</w:t>
      </w:r>
      <w:r>
        <w:t xml:space="preserve"> (apresentação rápida), cada uma com explicação objetiva. Os resultados indicam forte concentração em divulgação parlamentar e passagens aéreas (~51% do total nas duas primeiras categorias), diferença entre rankings por </w:t>
      </w:r>
      <w:r>
        <w:rPr>
          <w:b/>
        </w:rPr>
        <w:t>soma total</w:t>
      </w:r>
      <w:r>
        <w:t xml:space="preserve"> e por </w:t>
      </w:r>
      <w:r>
        <w:rPr>
          <w:b/>
        </w:rPr>
        <w:t>mediana por deputado</w:t>
      </w:r>
      <w:r>
        <w:t xml:space="preserve"> em partidos/UFs, e domínio de companhias aéreas entre fornecedores. A análise é </w:t>
      </w:r>
      <w:r>
        <w:rPr>
          <w:b/>
        </w:rPr>
        <w:t>descritiva e exploratória</w:t>
      </w:r>
      <w:r>
        <w:t>, sem inferência de irregularidades.</w:t>
      </w:r>
    </w:p>
    <w:p>
      <w:pPr>
        <w:pBdr>
          <w:bottom w:val="single" w:sz="6" w:space="5" w:color="BFBFBF"/>
        </w:pBdr>
      </w:pPr>
    </w:p>
    <w:p>
      <w:pPr>
        <w:pStyle w:val="Heading1"/>
      </w:pPr>
      <w:r>
        <w:t>1. Introdução</w:t>
      </w:r>
    </w:p>
    <w:p>
      <w:pPr>
        <w:pStyle w:val="Heading2"/>
      </w:pPr>
      <w:r>
        <w:t>1.1 Contextualização</w:t>
      </w:r>
    </w:p>
    <w:p>
      <w:pPr>
        <w:jc w:val="both"/>
      </w:pPr>
      <w:r>
        <w:t xml:space="preserve">Business Intelligence (BI) transforma grandes volumes de dados operacionais em informação para decisão. No setor público brasileiro, portais de </w:t>
      </w:r>
      <w:r>
        <w:rPr>
          <w:b/>
        </w:rPr>
        <w:t>dados abertos</w:t>
      </w:r>
      <w:r>
        <w:t xml:space="preserve"> - como o da </w:t>
      </w:r>
      <w:r>
        <w:rPr>
          <w:color w:val="000000"/>
          <w:u w:val="single"/>
        </w:rPr>
        <w:t>Câmara dos Deputados (https://dadosabertos.camara.leg.br/)</w:t>
      </w:r>
      <w:r>
        <w:t xml:space="preserve"> - permitem auditoria social e pesquisa sobre uso de recursos parlamentares. A CEAP cobre despesas de exercício da atividade parlamentar (deslocamentos, divulgação, manutenção de escritório, entre outras), sendo uma das bases mais utilizadas em jornalismo de dados e estudos de transparência.</w:t>
      </w:r>
    </w:p>
    <w:p>
      <w:pPr>
        <w:jc w:val="both"/>
      </w:pPr>
      <w:r>
        <w:t xml:space="preserve">O Laboratório 04 da disciplina solicita a construção de um </w:t>
      </w:r>
      <w:r>
        <w:rPr>
          <w:b/>
        </w:rPr>
        <w:t>dashboard autoexplicativo</w:t>
      </w:r>
      <w:r>
        <w:t xml:space="preserve"> com (i) </w:t>
      </w:r>
      <w:r>
        <w:rPr>
          <w:b/>
        </w:rPr>
        <w:t>caracterização do dataset</w:t>
      </w:r>
      <w:r>
        <w:t xml:space="preserve"> e (ii) </w:t>
      </w:r>
      <w:r>
        <w:rPr>
          <w:b/>
        </w:rPr>
        <w:t>visualizações que respondam a questões de pesquisa</w:t>
      </w:r>
      <w:r>
        <w:t>, com métricas e rótulos adequados. Como trabalho alternativo (sem vínculo com TIS 6), adotou-se base governamental pública e relatório com introdução, metodologia, resultados e discussão.</w:t>
      </w:r>
    </w:p>
    <w:p>
      <w:pPr>
        <w:pStyle w:val="Heading2"/>
      </w:pPr>
      <w:r>
        <w:t>1.2 Problema foco do experimento</w:t>
      </w:r>
    </w:p>
    <w:p>
      <w:pPr>
        <w:jc w:val="both"/>
      </w:pPr>
      <w:r>
        <w:rPr>
          <w:b/>
        </w:rPr>
        <w:t>Como visualizar e explorar de forma clara, reprodutível e comparável os padrões de gastos da CEAP entre 2020 e 2025, permitindo identificar concentrações por categoria, diferenças entre grupos políticos e geográficos, e os maiores valores por parlamentar e fornecedor?</w:t>
      </w:r>
    </w:p>
    <w:p>
      <w:pPr>
        <w:jc w:val="both"/>
      </w:pPr>
      <w:r>
        <w:t xml:space="preserve">O problema não é detectar fraude automaticamente, e sim </w:t>
      </w:r>
      <w:r>
        <w:rPr>
          <w:b/>
        </w:rPr>
        <w:t>organizar e comunicar</w:t>
      </w:r>
      <w:r>
        <w:t xml:space="preserve"> os dados para que cidadãos, pesquisadores e gestores compreendam </w:t>
      </w:r>
      <w:r>
        <w:rPr>
          <w:i/>
        </w:rPr>
        <w:t>onde</w:t>
      </w:r>
      <w:r>
        <w:t xml:space="preserve">, </w:t>
      </w:r>
      <w:r>
        <w:rPr>
          <w:i/>
        </w:rPr>
        <w:t>quando</w:t>
      </w:r>
      <w:r>
        <w:t xml:space="preserve"> e </w:t>
      </w:r>
      <w:r>
        <w:rPr>
          <w:i/>
        </w:rPr>
        <w:t>em que categorias</w:t>
      </w:r>
      <w:r>
        <w:t xml:space="preserve"> os recursos se concentram.</w:t>
      </w:r>
    </w:p>
    <w:p>
      <w:pPr>
        <w:pStyle w:val="Heading2"/>
      </w:pPr>
      <w:r>
        <w:t>1.3 Questões de pesquisa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2551"/>
            <w:shd w:fill="EAF2F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6520"/>
            <w:shd w:fill="EAF2F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Questão de pesquisa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RQ1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Quais tipos de despesa concentram mais gastos parlamentares?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RQ2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Como os gastos variam por partido e por UF?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RQ3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Quais deputados e fornecedores concentram os maiores valores?</w:t>
            </w:r>
          </w:p>
        </w:tc>
      </w:tr>
    </w:tbl>
    <w:p/>
    <w:p>
      <w:pPr>
        <w:pStyle w:val="Heading2"/>
      </w:pPr>
      <w:r>
        <w:t>1.4 Hipóteses</w:t>
      </w:r>
    </w:p>
    <w:p>
      <w:pPr>
        <w:jc w:val="both"/>
      </w:pPr>
      <w:r>
        <w:t>As hipóteses abaixo orientam a análise exploratória (não foram testadas inferencialmente neste laboratório):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2551"/>
            <w:shd w:fill="EAF2F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6520"/>
            <w:shd w:fill="EAF2F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Hipótese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H1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Poucas categorias de despesa concentram a maior parte do valor líquido total (padrão de Pareto).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H2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 xml:space="preserve">Partidos com maiores bancadas aparecem no topo do ranking por </w:t>
            </w:r>
            <w:r>
              <w:rPr>
                <w:b/>
                <w:sz w:val="20"/>
              </w:rPr>
              <w:t>soma total</w:t>
            </w:r>
            <w:r>
              <w:rPr>
                <w:sz w:val="20"/>
              </w:rPr>
              <w:t xml:space="preserve">, mas não necessariamente por </w:t>
            </w:r>
            <w:r>
              <w:rPr>
                <w:b/>
                <w:sz w:val="20"/>
              </w:rPr>
              <w:t>mediana de gasto por deputado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H3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 xml:space="preserve">UFs mais populosas lideram em </w:t>
            </w:r>
            <w:r>
              <w:rPr>
                <w:b/>
                <w:sz w:val="20"/>
              </w:rPr>
              <w:t>volume absoluto</w:t>
            </w:r>
            <w:r>
              <w:rPr>
                <w:sz w:val="20"/>
              </w:rPr>
              <w:t xml:space="preserve">, porém UFs menores podem apresentar </w:t>
            </w:r>
            <w:r>
              <w:rPr>
                <w:b/>
                <w:sz w:val="20"/>
              </w:rPr>
              <w:t>mediana por deputado</w:t>
            </w:r>
            <w:r>
              <w:rPr>
                <w:sz w:val="20"/>
              </w:rPr>
              <w:t xml:space="preserve"> semelhante ou superior.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H4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Fornecedores do setor aéreo e de mídia/divulgação dominam os maiores valores agregados no período.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H5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O valor por lançamento é fortemente assimétrico (muitos lançamentos de baixo valor e cauda longa de valores altos).</w:t>
            </w:r>
          </w:p>
        </w:tc>
      </w:tr>
    </w:tbl>
    <w:p/>
    <w:p>
      <w:pPr>
        <w:pStyle w:val="Heading2"/>
      </w:pPr>
      <w:r>
        <w:t>1.5 Objetivos</w:t>
      </w:r>
    </w:p>
    <w:p>
      <w:pPr>
        <w:jc w:val="both"/>
      </w:pPr>
      <w:r>
        <w:rPr>
          <w:b/>
        </w:rPr>
        <w:t>Objetivo geral:</w:t>
      </w:r>
      <w:r>
        <w:t xml:space="preserve"> Produzir um dashboard e relatório de BI sobre a CEAP (2020-2025) que caracterize o dataset e respondam às RQ1-RQ3 com visualizações adequadas e exportáveis.</w:t>
      </w:r>
    </w:p>
    <w:p>
      <w:pPr>
        <w:jc w:val="both"/>
      </w:pPr>
      <w:r>
        <w:rPr>
          <w:b/>
        </w:rPr>
        <w:t>Objetivos específicos:</w:t>
      </w:r>
    </w:p>
    <w:p>
      <w:pPr>
        <w:pStyle w:val="ListNumber"/>
      </w:pPr>
      <w:r>
        <w:t>Coletar e tratar automaticamente os CSV anuais publicados pela Câmara.</w:t>
      </w:r>
    </w:p>
    <w:p>
      <w:pPr>
        <w:pStyle w:val="ListNumber"/>
      </w:pPr>
      <w:r>
        <w:t>Caracterizar volume, cobertura temporal, cardinalidade e distribuição dos valores.</w:t>
      </w:r>
    </w:p>
    <w:p>
      <w:pPr>
        <w:pStyle w:val="ListNumber"/>
      </w:pPr>
      <w:r>
        <w:t>Implementar visualizações por tipo de despesa, partido, UF, deputado e fornecedor.</w:t>
      </w:r>
    </w:p>
    <w:p>
      <w:pPr>
        <w:pStyle w:val="ListNumber"/>
      </w:pPr>
      <w:r>
        <w:t xml:space="preserve">Comparar métricas de </w:t>
      </w:r>
      <w:r>
        <w:rPr>
          <w:b/>
        </w:rPr>
        <w:t>soma</w:t>
      </w:r>
      <w:r>
        <w:t xml:space="preserve"> e </w:t>
      </w:r>
      <w:r>
        <w:rPr>
          <w:b/>
        </w:rPr>
        <w:t>mediana por deputado</w:t>
      </w:r>
      <w:r>
        <w:t xml:space="preserve"> para evitar viés de tamanho de grupo.</w:t>
      </w:r>
    </w:p>
    <w:p>
      <w:pPr>
        <w:pStyle w:val="ListNumber"/>
      </w:pPr>
      <w:r>
        <w:t>Disponibilizar exportação de gráficos (PNG/HTML) para inclusão em relatório e PDF.</w:t>
      </w:r>
    </w:p>
    <w:p>
      <w:pPr>
        <w:pBdr>
          <w:bottom w:val="single" w:sz="6" w:space="5" w:color="BFBFBF"/>
        </w:pBdr>
      </w:pPr>
    </w:p>
    <w:p>
      <w:pPr>
        <w:pStyle w:val="Heading1"/>
      </w:pPr>
      <w:r>
        <w:t>2. Metodologia</w:t>
      </w:r>
    </w:p>
    <w:p>
      <w:pPr>
        <w:pStyle w:val="Heading2"/>
      </w:pPr>
      <w:r>
        <w:t>2.1 Passo a passo do experimento</w:t>
      </w:r>
    </w:p>
    <w:p>
      <w:pPr>
        <w:spacing w:before="80" w:after="160" w:line="240" w:lineRule="auto"/>
        <w:ind w:left="360" w:right="216"/>
        <w:shd w:fill="F7F7F7"/>
      </w:pPr>
      <w:r>
        <w:rPr>
          <w:rFonts w:ascii="Consolas" w:hAnsi="Consolas" w:eastAsia="Consolas"/>
          <w:sz w:val="20"/>
        </w:rPr>
        <w:t>1. Definição do recorte (CEAP, anos 2020-2025) e das RQ1-RQ3</w:t>
        <w:br/>
        <w:t>2. Coleta automatizada dos ZIPs anuais (script coleta_ceap.py)</w:t>
        <w:br/>
        <w:t>3. Extração e consolidação dos CSVs brutos</w:t>
        <w:br/>
        <w:t>4. Tratamento e padronização (script prepara_dados.py)</w:t>
        <w:br/>
        <w:t>5. Geração da base analítica: output/despesas_ceap_tratadas.csv</w:t>
        <w:br/>
        <w:t>6. Desenvolvimento do dashboard Streamlit (app/dashboard.py)</w:t>
        <w:br/>
        <w:t>7. Exploração interativa com filtros (ano, mês, partido, UF, tipo, deputado)</w:t>
        <w:br/>
        <w:t>8. Exportação das figuras para o relatório (scripts/exportar_figuras_relatorio.py)</w:t>
        <w:br/>
        <w:t>9. Redação do relatório com interpretação alinhada ao enunciado do Lab04</w:t>
      </w:r>
    </w:p>
    <w:p>
      <w:pPr>
        <w:pStyle w:val="Heading2"/>
      </w:pPr>
      <w:r>
        <w:t>2.2 Decisões metodológicas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2551"/>
            <w:shd w:fill="EAF2F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Decisão</w:t>
            </w:r>
          </w:p>
        </w:tc>
        <w:tc>
          <w:tcPr>
            <w:tcW w:type="dxa" w:w="6520"/>
            <w:shd w:fill="EAF2F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Justificativa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Ferramenta:</w:t>
            </w:r>
            <w:r>
              <w:rPr>
                <w:sz w:val="20"/>
              </w:rPr>
              <w:t xml:space="preserve"> Python (Streamlit + Plotly) em vez de Power BI/Tableau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 xml:space="preserve">Reprodutibilidade, versionamento no Git e integração com scripts de coleta/tratamento. Atende ao </w:t>
            </w:r>
            <w:r>
              <w:rPr>
                <w:b/>
                <w:sz w:val="20"/>
              </w:rPr>
              <w:t>trabalho alternativo</w:t>
            </w:r>
            <w:r>
              <w:rPr>
                <w:sz w:val="20"/>
              </w:rPr>
              <w:t xml:space="preserve"> do enunciado.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Métrica principal: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valor_liquido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Valor efetivamente considerado após glosa; padrão em análises da CEAP.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Tempo:</w:t>
            </w:r>
            <w:r>
              <w:rPr>
                <w:sz w:val="20"/>
              </w:rPr>
              <w:t xml:space="preserve"> ano/mês de </w:t>
            </w:r>
            <w:r>
              <w:rPr>
                <w:b/>
                <w:sz w:val="20"/>
              </w:rPr>
              <w:t>competência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sz w:val="20"/>
              </w:rPr>
              <w:t>data_referencia</w:t>
            </w:r>
            <w:r>
              <w:rPr>
                <w:sz w:val="20"/>
              </w:rPr>
              <w:t>)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A data de emissão do documento pode não coincidir com o período de ressarcimento.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Duas agregações em RQ2:</w:t>
            </w:r>
            <w:r>
              <w:rPr>
                <w:sz w:val="20"/>
              </w:rPr>
              <w:t xml:space="preserve"> soma total e mediana por deputado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Soma reflete tamanho do grupo; mediana aproxima comparação “por parlamentar”.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Heatmap em % por partido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 xml:space="preserve">Mostra </w:t>
            </w:r>
            <w:r>
              <w:rPr>
                <w:i/>
                <w:sz w:val="20"/>
              </w:rPr>
              <w:t>composição</w:t>
            </w:r>
            <w:r>
              <w:rPr>
                <w:sz w:val="20"/>
              </w:rPr>
              <w:t xml:space="preserve"> do gasto, não apenas volume bruto.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Pizza com fatia “Outros”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Evita gráfico parcial que não soma 100%.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Exclusão opcional de lideranças (LID/LIDER)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Estruturas partidárias não são deputados individuais; filtro no dashboard.</w:t>
            </w:r>
          </w:p>
        </w:tc>
      </w:tr>
    </w:tbl>
    <w:p/>
    <w:p>
      <w:pPr>
        <w:pStyle w:val="Heading2"/>
      </w:pPr>
      <w:r>
        <w:t>2.3 Materiais utilizados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2551"/>
            <w:shd w:fill="EAF2F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Material</w:t>
            </w:r>
          </w:p>
        </w:tc>
        <w:tc>
          <w:tcPr>
            <w:tcW w:type="dxa" w:w="6520"/>
            <w:shd w:fill="EAF2F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Dados brutos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sz w:val="20"/>
              </w:rPr>
              <w:t>Ano-2020.csv</w:t>
            </w:r>
            <w:r>
              <w:rPr>
                <w:sz w:val="20"/>
              </w:rPr>
              <w:t xml:space="preserve"> … </w:t>
            </w:r>
            <w:r>
              <w:rPr>
                <w:rFonts w:ascii="Consolas" w:hAnsi="Consolas"/>
                <w:sz w:val="20"/>
              </w:rPr>
              <w:t>Ano-2025.csv</w:t>
            </w:r>
            <w:r>
              <w:rPr>
                <w:sz w:val="20"/>
              </w:rPr>
              <w:t xml:space="preserve"> em </w:t>
            </w:r>
            <w:r>
              <w:rPr>
                <w:rFonts w:ascii="Consolas" w:hAnsi="Consolas"/>
                <w:sz w:val="20"/>
              </w:rPr>
              <w:t>laboratorio4/data/raw/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Dados tratados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sz w:val="20"/>
              </w:rPr>
              <w:t>laboratorio4/output/despesas_ceap_tratadas.csv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Scripts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sz w:val="20"/>
              </w:rPr>
              <w:t>coleta_ceap.py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prepara_dados.py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exportar_figuras_relatorio.py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Dashboard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sz w:val="20"/>
              </w:rPr>
              <w:t>laboratorio4/app/dashboard.py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Figuras do relatório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sz w:val="20"/>
              </w:rPr>
              <w:t>laboratorio4/relatorios/figuras/*.png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Dependências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sz w:val="20"/>
              </w:rPr>
              <w:t>pandas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plotly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streamlit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requests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kaleido</w:t>
            </w:r>
          </w:p>
        </w:tc>
      </w:tr>
    </w:tbl>
    <w:p/>
    <w:p>
      <w:pPr>
        <w:jc w:val="both"/>
      </w:pPr>
      <w:r>
        <w:rPr>
          <w:b/>
        </w:rPr>
        <w:t>Fonte oficial:</w:t>
      </w:r>
      <w:r>
        <w:t xml:space="preserve"> </w:t>
      </w:r>
      <w:r>
        <w:rPr>
          <w:color w:val="000000"/>
          <w:u w:val="single"/>
        </w:rPr>
        <w:t>Portal de Dados Abertos - Câmara dos Deputados (https://dadosabertos.camara.leg.br/)</w:t>
      </w:r>
      <w:r>
        <w:t xml:space="preserve"> · Arquivos CEAP: </w:t>
      </w:r>
      <w:r>
        <w:rPr>
          <w:rFonts w:ascii="Consolas" w:hAnsi="Consolas"/>
          <w:sz w:val="20"/>
        </w:rPr>
        <w:t>http://www.camara.leg.br/cotas/Ano-{ano}.csv.zip</w:t>
      </w:r>
    </w:p>
    <w:p>
      <w:pPr>
        <w:pStyle w:val="Heading2"/>
      </w:pPr>
      <w:r>
        <w:t>2.4 Métodos utilizados</w:t>
      </w:r>
    </w:p>
    <w:p>
      <w:pPr>
        <w:pStyle w:val="ListBullet"/>
      </w:pPr>
      <w:r>
        <w:rPr>
          <w:b/>
        </w:rPr>
        <w:t>Coleta:</w:t>
      </w:r>
      <w:r>
        <w:t xml:space="preserve"> download HTTP dos ZIPs anuais e extração local.</w:t>
      </w:r>
    </w:p>
    <w:p>
      <w:pPr>
        <w:pStyle w:val="ListBullet"/>
      </w:pPr>
      <w:r>
        <w:rPr>
          <w:b/>
        </w:rPr>
        <w:t>ETL:</w:t>
      </w:r>
      <w:r>
        <w:t xml:space="preserve"> renomeação de colunas, parsing de valores monetários (formato BR), datas, campos derivados (</w:t>
      </w:r>
      <w:r>
        <w:rPr>
          <w:rFonts w:ascii="Consolas" w:hAnsi="Consolas"/>
          <w:sz w:val="20"/>
        </w:rPr>
        <w:t>ano_mes</w:t>
      </w:r>
      <w:r>
        <w:t xml:space="preserve">, </w:t>
      </w:r>
      <w:r>
        <w:rPr>
          <w:rFonts w:ascii="Consolas" w:hAnsi="Consolas"/>
          <w:sz w:val="20"/>
        </w:rPr>
        <w:t>data_referencia</w:t>
      </w:r>
      <w:r>
        <w:t xml:space="preserve">, flag </w:t>
      </w:r>
      <w:r>
        <w:rPr>
          <w:rFonts w:ascii="Consolas" w:hAnsi="Consolas"/>
          <w:sz w:val="20"/>
        </w:rPr>
        <w:t>eh_lideranca</w:t>
      </w:r>
      <w:r>
        <w:t>).</w:t>
      </w:r>
    </w:p>
    <w:p>
      <w:pPr>
        <w:pStyle w:val="ListBullet"/>
      </w:pPr>
      <w:r>
        <w:rPr>
          <w:b/>
        </w:rPr>
        <w:t>Agregação:</w:t>
      </w:r>
      <w:r>
        <w:t xml:space="preserve"> </w:t>
      </w:r>
      <w:r>
        <w:rPr>
          <w:rFonts w:ascii="Consolas" w:hAnsi="Consolas"/>
          <w:sz w:val="20"/>
        </w:rPr>
        <w:t>groupby</w:t>
      </w:r>
      <w:r>
        <w:t xml:space="preserve"> com soma, contagem, mediana e percentuais.</w:t>
      </w:r>
    </w:p>
    <w:p>
      <w:pPr>
        <w:pStyle w:val="ListBullet"/>
      </w:pPr>
      <w:r>
        <w:rPr>
          <w:b/>
        </w:rPr>
        <w:t>Visualização:</w:t>
      </w:r>
      <w:r>
        <w:t xml:space="preserve"> barras horizontais, linhas temporais, histograma, diagrama de Pareto, pizza, boxplot, heatmap (Plotly).</w:t>
      </w:r>
    </w:p>
    <w:p>
      <w:pPr>
        <w:pStyle w:val="ListBullet"/>
      </w:pPr>
      <w:r>
        <w:rPr>
          <w:b/>
        </w:rPr>
        <w:t>Interação:</w:t>
      </w:r>
      <w:r>
        <w:t xml:space="preserve"> filtros multiselect no Streamlit; exportação PNG/HTML por gráfico.</w:t>
      </w:r>
    </w:p>
    <w:p>
      <w:pPr>
        <w:pStyle w:val="Heading2"/>
      </w:pPr>
      <w:r>
        <w:t>2.5 Métricas e unidades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EAF2F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Métrica</w:t>
            </w:r>
          </w:p>
        </w:tc>
        <w:tc>
          <w:tcPr>
            <w:tcW w:type="dxa" w:w="2268"/>
            <w:shd w:fill="EAF2F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Definição</w:t>
            </w:r>
          </w:p>
        </w:tc>
        <w:tc>
          <w:tcPr>
            <w:tcW w:type="dxa" w:w="2268"/>
            <w:shd w:fill="EAF2F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Unidade</w:t>
            </w:r>
          </w:p>
        </w:tc>
        <w:tc>
          <w:tcPr>
            <w:tcW w:type="dxa" w:w="2268"/>
            <w:shd w:fill="EAF2F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Uso principal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Valor líquido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sz w:val="20"/>
              </w:rPr>
              <w:t>vlrLiquido</w:t>
            </w:r>
            <w:r>
              <w:rPr>
                <w:sz w:val="20"/>
              </w:rPr>
              <w:t xml:space="preserve"> após tratamento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R$ (BRL)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Todas as RQs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Registros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Contagem de lançamentos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inteiro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Caracterização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Deputados distintos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sz w:val="20"/>
              </w:rPr>
              <w:t>nunique(deputado)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inteiro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Caracterização; base da mediana em RQ2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Mediana por lançamento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 xml:space="preserve">Mediana de </w:t>
            </w:r>
            <w:r>
              <w:rPr>
                <w:rFonts w:ascii="Consolas" w:hAnsi="Consolas"/>
                <w:sz w:val="20"/>
              </w:rPr>
              <w:t>valor_liquido</w:t>
            </w:r>
            <w:r>
              <w:rPr>
                <w:sz w:val="20"/>
              </w:rPr>
              <w:t xml:space="preserve"> onde valor &gt; 0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right"/>
            </w:pPr>
            <w:r>
              <w:rPr>
                <w:sz w:val="20"/>
              </w:rPr>
              <w:t>R$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Caracterização (H5)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Mediana por deputado (grupo)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Mediana da soma por deputado dentro de partido/UF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right"/>
            </w:pPr>
            <w:r>
              <w:rPr>
                <w:sz w:val="20"/>
              </w:rPr>
              <w:t>R$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RQ2 (comparação justa)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Percentual / Pareto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Participação e % acumulado por tipo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right"/>
            </w:pPr>
            <w:r>
              <w:rPr>
                <w:sz w:val="20"/>
              </w:rPr>
              <w:t>%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RQ1 (H1)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Composição partido × tipo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% da soma do partido em cada tipo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right"/>
            </w:pPr>
            <w:r>
              <w:rPr>
                <w:sz w:val="20"/>
              </w:rPr>
              <w:t>%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RQ2 (heatmap)</w:t>
            </w:r>
          </w:p>
        </w:tc>
      </w:tr>
    </w:tbl>
    <w:p/>
    <w:p>
      <w:pPr>
        <w:pBdr>
          <w:bottom w:val="single" w:sz="6" w:space="5" w:color="BFBFBF"/>
        </w:pBdr>
      </w:pPr>
    </w:p>
    <w:p>
      <w:pPr>
        <w:pStyle w:val="Heading1"/>
      </w:pPr>
      <w:r>
        <w:t>3. Caracterização do dataset</w:t>
      </w:r>
    </w:p>
    <w:p>
      <w:pPr>
        <w:pStyle w:val="Heading2"/>
      </w:pPr>
      <w:r>
        <w:t>3.1 Visão geral (período completo 2020-2025)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2551"/>
            <w:shd w:fill="EAF2F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Indicador</w:t>
            </w:r>
          </w:p>
        </w:tc>
        <w:tc>
          <w:tcPr>
            <w:tcW w:type="dxa" w:w="6520"/>
            <w:shd w:fill="EAF2F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Lançamentos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1.271.817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Valor líquido total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R$ 1.389.844.978,70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Nomes distintos (deputado/estrutura)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927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Partidos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27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UFs / categorias territoriais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28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Fornecedores distintos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67.783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Mediana por lançamento (valor &gt; 0)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R$ 259,10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Média por lançamento (valor &gt; 0)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R$ 1.130,98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Percentil 95 por lançamento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R$ 5.000,00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Lançamentos com valor zero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42.927</w:t>
            </w:r>
          </w:p>
        </w:tc>
      </w:tr>
    </w:tbl>
    <w:p/>
    <w:p>
      <w:pPr>
        <w:jc w:val="both"/>
      </w:pPr>
      <w:r>
        <w:t xml:space="preserve">A competência observada estende-se de </w:t>
      </w:r>
      <w:r>
        <w:rPr>
          <w:b/>
        </w:rPr>
        <w:t>janeiro/2020 a dezembro/2025</w:t>
      </w:r>
      <w:r>
        <w:t xml:space="preserve">. O número de </w:t>
      </w:r>
      <w:r>
        <w:rPr>
          <w:b/>
        </w:rPr>
        <w:t>927</w:t>
      </w:r>
      <w:r>
        <w:t xml:space="preserve"> nomes acumula mandatos, trocas de identificação e estruturas como </w:t>
      </w:r>
      <w:r>
        <w:rPr>
          <w:rFonts w:ascii="Consolas" w:hAnsi="Consolas"/>
          <w:sz w:val="20"/>
        </w:rPr>
        <w:t>LID.GOV-CD</w:t>
      </w:r>
      <w:r>
        <w:t xml:space="preserve"> e lideranças partidárias; por ano, há entre </w:t>
      </w:r>
      <w:r>
        <w:rPr>
          <w:b/>
        </w:rPr>
        <w:t>554 e 800</w:t>
      </w:r>
      <w:r>
        <w:t xml:space="preserve"> nomes distintos.</w:t>
      </w:r>
    </w:p>
    <w:p>
      <w:pPr>
        <w:pStyle w:val="Heading2"/>
      </w:pPr>
      <w:r>
        <w:t>3.2 Caracterização por ano (subgrupo temporal)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EAF2F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Ano</w:t>
            </w:r>
          </w:p>
        </w:tc>
        <w:tc>
          <w:tcPr>
            <w:tcW w:type="dxa" w:w="2268"/>
            <w:shd w:fill="EAF2F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Registros</w:t>
            </w:r>
          </w:p>
        </w:tc>
        <w:tc>
          <w:tcPr>
            <w:tcW w:type="dxa" w:w="2268"/>
            <w:shd w:fill="EAF2F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Valor líquido (R$)</w:t>
            </w:r>
          </w:p>
        </w:tc>
        <w:tc>
          <w:tcPr>
            <w:tcW w:type="dxa" w:w="2268"/>
            <w:shd w:fill="EAF2F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Deputados distintos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2020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166.786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175.930.552,00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554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2021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218.439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214.353.823,00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582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2022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209.227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222.512.800,00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572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2023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236.772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262.336.900,00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800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2024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232.259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264.320.800,00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594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2025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208.334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250.390.000,00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574</w:t>
            </w:r>
          </w:p>
        </w:tc>
      </w:tr>
    </w:tbl>
    <w:p/>
    <w:p>
      <w:pPr>
        <w:jc w:val="both"/>
      </w:pPr>
      <w:r>
        <w:t xml:space="preserve">Há crescimento do </w:t>
      </w:r>
      <w:r>
        <w:rPr>
          <w:b/>
        </w:rPr>
        <w:t>valor total anual</w:t>
      </w:r>
      <w:r>
        <w:t xml:space="preserve"> ao longo do período (com exceção de 2025 ligeiramente abaixo de 2024 em valor, mantendo volume elevado de lançamentos). O pico de </w:t>
      </w:r>
      <w:r>
        <w:rPr>
          <w:b/>
        </w:rPr>
        <w:t>800</w:t>
      </w:r>
      <w:r>
        <w:t xml:space="preserve"> deputados distintos em 2023 pode refletir mudanças de cadastro ou maior granularidade de registros naquele ano.</w:t>
      </w:r>
    </w:p>
    <w:p>
      <w:pPr>
        <w:pStyle w:val="Heading2"/>
      </w:pPr>
      <w:r>
        <w:t>3.3 Figura de caracterização (única no relatório)</w:t>
      </w:r>
    </w:p>
    <w:p>
      <w:pPr>
        <w:jc w:val="both"/>
      </w:pPr>
      <w:r>
        <w:t xml:space="preserve">Os demais indicadores da Seção 3.1-3.2 permanecem em </w:t>
      </w:r>
      <w:r>
        <w:rPr>
          <w:b/>
        </w:rPr>
        <w:t>tabelas</w:t>
      </w:r>
      <w:r>
        <w:t xml:space="preserve"> para leitura rápida. Evolução mensal, histograma e demais visuais estão no dashboard (</w:t>
      </w:r>
      <w:r>
        <w:rPr>
          <w:rFonts w:ascii="Consolas" w:hAnsi="Consolas"/>
          <w:sz w:val="20"/>
        </w:rPr>
        <w:t>app/dashboard.py</w:t>
      </w:r>
      <w:r>
        <w:t>).</w:t>
      </w:r>
    </w:p>
    <w:p>
      <w:pPr>
        <w:pBdr>
          <w:bottom w:val="single" w:sz="6" w:space="5" w:color="BFBFBF"/>
        </w:pBdr>
      </w:pPr>
    </w:p>
    <w:p>
      <w:pPr>
        <w:pStyle w:val="Heading1"/>
      </w:pPr>
      <w:r>
        <w:t>4. Visualização dos resultados (5 figuras)</w:t>
      </w:r>
    </w:p>
    <w:p>
      <w:pPr>
        <w:jc w:val="both"/>
      </w:pPr>
      <w:r>
        <w:rPr>
          <w:b/>
        </w:rPr>
        <w:t>Roteiro sugerido (~5 min):</w:t>
      </w:r>
      <w:r>
        <w:t xml:space="preserve"> (1) escopo da base -&gt; (2) concentração por tipo -&gt; (3) comparação justa entre partidos -&gt; (4-5) rankings de deputados e fornecedores. Demais análises ficam no dashboard se o professor perguntar.</w:t>
      </w:r>
    </w:p>
    <w:p>
      <w:pPr>
        <w:pStyle w:val="Heading3"/>
      </w:pPr>
      <w:r>
        <w:t>Figura 1 - Valor líquido total por ano (caracterização)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270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ract_valor_an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7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rFonts w:ascii="Times New Roman" w:hAnsi="Times New Roman"/>
          <w:i/>
          <w:color w:val="595959"/>
          <w:sz w:val="20"/>
        </w:rPr>
        <w:t>Valor liquido total por ano</w:t>
      </w:r>
    </w:p>
    <w:p>
      <w:pPr>
        <w:jc w:val="both"/>
      </w:pPr>
      <w:r>
        <w:rPr>
          <w:b/>
        </w:rPr>
        <w:t>O que mostra:</w:t>
      </w:r>
      <w:r>
        <w:t xml:space="preserve"> barras com a </w:t>
      </w:r>
      <w:r>
        <w:rPr>
          <w:b/>
        </w:rPr>
        <w:t>soma anual</w:t>
      </w:r>
      <w:r>
        <w:t xml:space="preserve"> do </w:t>
      </w:r>
      <w:r>
        <w:rPr>
          <w:rFonts w:ascii="Consolas" w:hAnsi="Consolas"/>
          <w:sz w:val="20"/>
        </w:rPr>
        <w:t>valor_liquido</w:t>
      </w:r>
      <w:r>
        <w:t xml:space="preserve"> (competência 2020-2025). </w:t>
      </w:r>
      <w:r>
        <w:rPr>
          <w:b/>
        </w:rPr>
        <w:t>Eixo X:</w:t>
      </w:r>
      <w:r>
        <w:t xml:space="preserve"> ano; </w:t>
      </w:r>
      <w:r>
        <w:rPr>
          <w:b/>
        </w:rPr>
        <w:t>Eixo Y:</w:t>
      </w:r>
      <w:r>
        <w:t xml:space="preserve"> R$.</w:t>
      </w:r>
    </w:p>
    <w:p>
      <w:pPr>
        <w:jc w:val="both"/>
      </w:pPr>
      <w:r>
        <w:rPr>
          <w:b/>
        </w:rPr>
        <w:t>Mensagem em uma frase:</w:t>
      </w:r>
      <w:r>
        <w:t xml:space="preserve"> o gasto agregado da CEAP </w:t>
      </w:r>
      <w:r>
        <w:rPr>
          <w:b/>
        </w:rPr>
        <w:t>cresceu</w:t>
      </w:r>
      <w:r>
        <w:t xml:space="preserve"> de ~R$ 176 mi (2020) para ~R$ 264 mi (2024) e permanece alto em 2025 (~R$ 250 mi) - o dataset cobre um período de volume crescente, base para as RQs.</w:t>
      </w:r>
    </w:p>
    <w:p>
      <w:pPr>
        <w:jc w:val="both"/>
      </w:pPr>
      <w:r>
        <w:rPr>
          <w:b/>
        </w:rPr>
        <w:t>Apoio textual (sem gráfico):</w:t>
      </w:r>
      <w:r>
        <w:t xml:space="preserve"> mediana por lançamento = </w:t>
      </w:r>
      <w:r>
        <w:rPr>
          <w:b/>
        </w:rPr>
        <w:t>R$ 259</w:t>
      </w:r>
      <w:r>
        <w:t xml:space="preserve">; média = </w:t>
      </w:r>
      <w:r>
        <w:rPr>
          <w:b/>
        </w:rPr>
        <w:t>R$ 1.131</w:t>
      </w:r>
      <w:r>
        <w:t xml:space="preserve"> (distribuição assimétrica, </w:t>
      </w:r>
      <w:r>
        <w:rPr>
          <w:b/>
        </w:rPr>
        <w:t>H5</w:t>
      </w:r>
      <w:r>
        <w:t>).</w:t>
      </w:r>
    </w:p>
    <w:p>
      <w:pPr>
        <w:pBdr>
          <w:bottom w:val="single" w:sz="6" w:space="5" w:color="BFBFBF"/>
        </w:pBdr>
      </w:pPr>
    </w:p>
    <w:p>
      <w:pPr>
        <w:pStyle w:val="Heading2"/>
      </w:pPr>
      <w:r>
        <w:t>4.1 RQ1 - Tipos de despesa (Figura 2)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2551"/>
            <w:shd w:fill="EAF2F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Top 3 categorias</w:t>
            </w:r>
          </w:p>
        </w:tc>
        <w:tc>
          <w:tcPr>
            <w:tcW w:type="dxa" w:w="6520"/>
            <w:shd w:fill="EAF2F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% do total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Divulgação da atividade parlamentar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right"/>
            </w:pPr>
            <w:r>
              <w:rPr>
                <w:sz w:val="20"/>
              </w:rPr>
              <w:t>33,6%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Passagem aérea (SIGEPA)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right"/>
            </w:pPr>
            <w:r>
              <w:rPr>
                <w:sz w:val="20"/>
              </w:rPr>
              <w:t>17,7%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Locação/fretamento de veículos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right"/>
            </w:pPr>
            <w:r>
              <w:rPr>
                <w:sz w:val="20"/>
              </w:rPr>
              <w:t>14,8%</w:t>
            </w:r>
          </w:p>
        </w:tc>
      </w:tr>
    </w:tbl>
    <w:p/>
    <w:p>
      <w:pPr>
        <w:jc w:val="both"/>
      </w:pPr>
      <w:r>
        <w:t xml:space="preserve">As </w:t>
      </w:r>
      <w:r>
        <w:rPr>
          <w:b/>
        </w:rPr>
        <w:t>cinco primeiras</w:t>
      </w:r>
      <w:r>
        <w:t xml:space="preserve"> categorias aprox. </w:t>
      </w:r>
      <w:r>
        <w:rPr>
          <w:b/>
        </w:rPr>
        <w:t>86%</w:t>
      </w:r>
      <w:r>
        <w:t xml:space="preserve"> do total (</w:t>
      </w:r>
      <w:r>
        <w:rPr>
          <w:b/>
        </w:rPr>
        <w:t>H1</w:t>
      </w:r>
      <w:r>
        <w:t xml:space="preserve"> corroborada).</w:t>
      </w:r>
    </w:p>
    <w:p>
      <w:pPr>
        <w:pStyle w:val="Heading3"/>
      </w:pPr>
      <w:r>
        <w:t>Figura 2 - Pareto dos tipos de despesa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270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q1_par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7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rFonts w:ascii="Times New Roman" w:hAnsi="Times New Roman"/>
          <w:i/>
          <w:color w:val="595959"/>
          <w:sz w:val="20"/>
        </w:rPr>
        <w:t>Pareto tipos de despesa</w:t>
      </w:r>
    </w:p>
    <w:p>
      <w:pPr>
        <w:jc w:val="both"/>
      </w:pPr>
      <w:r>
        <w:rPr>
          <w:b/>
        </w:rPr>
        <w:t>O que mostra:</w:t>
      </w:r>
      <w:r>
        <w:t xml:space="preserve"> </w:t>
      </w:r>
      <w:r>
        <w:rPr>
          <w:b/>
        </w:rPr>
        <w:t>barras</w:t>
      </w:r>
      <w:r>
        <w:t xml:space="preserve"> = valor líquido por tipo (eixo esquerdo, R$); </w:t>
      </w:r>
      <w:r>
        <w:rPr>
          <w:b/>
        </w:rPr>
        <w:t>linha laranja</w:t>
      </w:r>
      <w:r>
        <w:t xml:space="preserve"> = % acumulado do total (eixo direito).</w:t>
      </w:r>
    </w:p>
    <w:p>
      <w:pPr>
        <w:jc w:val="both"/>
      </w:pPr>
      <w:r>
        <w:rPr>
          <w:b/>
        </w:rPr>
        <w:t>Mensagem em uma frase:</w:t>
      </w:r>
      <w:r>
        <w:t xml:space="preserve"> poucas rubricas (divulgação, passagens, veículos, escritório, combustível) explicam quase todo o </w:t>
      </w:r>
      <w:r>
        <w:rPr>
          <w:b/>
        </w:rPr>
        <w:t>R$ 1,39 bi</w:t>
      </w:r>
      <w:r>
        <w:t xml:space="preserve"> - resposta direta à </w:t>
      </w:r>
      <w:r>
        <w:rPr>
          <w:b/>
        </w:rPr>
        <w:t>RQ1</w:t>
      </w:r>
      <w:r>
        <w:t>.</w:t>
      </w:r>
    </w:p>
    <w:p>
      <w:pPr>
        <w:jc w:val="both"/>
      </w:pPr>
      <w:r>
        <w:rPr>
          <w:b/>
        </w:rPr>
        <w:t>Leitura rápida:</w:t>
      </w:r>
      <w:r>
        <w:t xml:space="preserve"> quando a linha passa de ~80%, conte quantas barras existem à esquerda (padrão de concentração).</w:t>
      </w:r>
    </w:p>
    <w:p>
      <w:pPr>
        <w:pBdr>
          <w:bottom w:val="single" w:sz="6" w:space="5" w:color="BFBFBF"/>
        </w:pBdr>
      </w:pPr>
    </w:p>
    <w:p>
      <w:pPr>
        <w:pStyle w:val="Heading2"/>
      </w:pPr>
      <w:r>
        <w:t>4.2 RQ2 - Partido e UF (Figura 3 + tabelas)</w:t>
      </w:r>
    </w:p>
    <w:p>
      <w:pPr>
        <w:jc w:val="both"/>
      </w:pPr>
      <w:r>
        <w:rPr>
          <w:b/>
        </w:rPr>
        <w:t>Por soma total (tamanho da bancada):</w:t>
      </w:r>
      <w:r>
        <w:t xml:space="preserve"> PL, PT, União, PP, PSD lideram - </w:t>
      </w:r>
      <w:r>
        <w:rPr>
          <w:b/>
        </w:rPr>
        <w:t>não</w:t>
      </w:r>
      <w:r>
        <w:t xml:space="preserve"> use só isso para comparar partidos.</w:t>
      </w:r>
    </w:p>
    <w:p>
      <w:pPr>
        <w:jc w:val="both"/>
      </w:pPr>
      <w:r>
        <w:rPr>
          <w:b/>
        </w:rPr>
        <w:t>Por mediana por deputado (top 3):</w:t>
      </w:r>
      <w:r>
        <w:t xml:space="preserve"> PRD (R$ 2,51 mi), PCdoB (R$ 2,34 mi), S.PART. (R$ 1,72 mi) - </w:t>
      </w:r>
      <w:r>
        <w:rPr>
          <w:b/>
        </w:rPr>
        <w:t>PL não lidera</w:t>
      </w:r>
      <w:r>
        <w:t xml:space="preserve"> (</w:t>
      </w:r>
      <w:r>
        <w:rPr>
          <w:b/>
        </w:rPr>
        <w:t>H2</w:t>
      </w:r>
      <w:r>
        <w:t>).</w:t>
      </w:r>
    </w:p>
    <w:p>
      <w:pPr>
        <w:jc w:val="both"/>
      </w:pPr>
      <w:r>
        <w:rPr>
          <w:b/>
        </w:rPr>
        <w:t>Por UF (texto):</w:t>
      </w:r>
      <w:r>
        <w:t xml:space="preserve"> SP lidera em soma; </w:t>
      </w:r>
      <w:r>
        <w:rPr>
          <w:b/>
        </w:rPr>
        <w:t>BA</w:t>
      </w:r>
      <w:r>
        <w:t xml:space="preserve"> lidera em mediana por deputado (</w:t>
      </w:r>
      <w:r>
        <w:rPr>
          <w:b/>
        </w:rPr>
        <w:t>H3</w:t>
      </w:r>
      <w:r>
        <w:t>) - detalhe no dashboard, sem figura neste relatório.</w:t>
      </w:r>
    </w:p>
    <w:p>
      <w:pPr>
        <w:pStyle w:val="Heading3"/>
      </w:pPr>
      <w:r>
        <w:t>Figura 3 - Mediana do gasto por deputado, por partido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270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q2_partido_median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7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rFonts w:ascii="Times New Roman" w:hAnsi="Times New Roman"/>
          <w:i/>
          <w:color w:val="595959"/>
          <w:sz w:val="20"/>
        </w:rPr>
        <w:t>Mediana por partido</w:t>
      </w:r>
    </w:p>
    <w:p>
      <w:pPr>
        <w:jc w:val="both"/>
      </w:pPr>
      <w:r>
        <w:rPr>
          <w:b/>
        </w:rPr>
        <w:t>O que mostra:</w:t>
      </w:r>
      <w:r>
        <w:t xml:space="preserve"> para cada partido, calcula-se a </w:t>
      </w:r>
      <w:r>
        <w:rPr>
          <w:b/>
        </w:rPr>
        <w:t>soma</w:t>
      </w:r>
      <w:r>
        <w:t xml:space="preserve"> do valor líquido de cada deputado (2020-2025) e depois a </w:t>
      </w:r>
      <w:r>
        <w:rPr>
          <w:b/>
        </w:rPr>
        <w:t>mediana</w:t>
      </w:r>
      <w:r>
        <w:t xml:space="preserve"> dessas somas. </w:t>
      </w:r>
      <w:r>
        <w:rPr>
          <w:b/>
        </w:rPr>
        <w:t>Eixo Y:</w:t>
      </w:r>
      <w:r>
        <w:t xml:space="preserve"> partido; </w:t>
      </w:r>
      <w:r>
        <w:rPr>
          <w:b/>
        </w:rPr>
        <w:t>Eixo X:</w:t>
      </w:r>
      <w:r>
        <w:t xml:space="preserve"> mediana em R$.</w:t>
      </w:r>
    </w:p>
    <w:p>
      <w:pPr>
        <w:jc w:val="both"/>
      </w:pPr>
      <w:r>
        <w:rPr>
          <w:b/>
        </w:rPr>
        <w:t>Mensagem em uma frase:</w:t>
      </w:r>
      <w:r>
        <w:t xml:space="preserve"> compara o gasto do deputado “típico” de cada legenda, </w:t>
      </w:r>
      <w:r>
        <w:rPr>
          <w:b/>
        </w:rPr>
        <w:t>sem</w:t>
      </w:r>
      <w:r>
        <w:t xml:space="preserve"> distorcer pelo número de cadeiras - resposta principal da </w:t>
      </w:r>
      <w:r>
        <w:rPr>
          <w:b/>
        </w:rPr>
        <w:t>RQ2</w:t>
      </w:r>
      <w:r>
        <w:t xml:space="preserve"> neste relatório.</w:t>
      </w:r>
    </w:p>
    <w:p>
      <w:pPr>
        <w:pBdr>
          <w:bottom w:val="single" w:sz="6" w:space="5" w:color="BFBFBF"/>
        </w:pBdr>
      </w:pPr>
    </w:p>
    <w:p>
      <w:pPr>
        <w:pStyle w:val="Heading2"/>
      </w:pPr>
      <w:r>
        <w:t>4.3 RQ3 - Deputados e fornecedores (Figuras 4 e 5)</w:t>
      </w:r>
    </w:p>
    <w:p>
      <w:pPr>
        <w:jc w:val="both"/>
      </w:pPr>
      <w:r>
        <w:rPr>
          <w:b/>
        </w:rPr>
        <w:t>Top 3 deputados (sem lideranças):</w:t>
      </w:r>
      <w:r>
        <w:t xml:space="preserve"> Sidney Leite, General Girão, Pompeo de Mattos (~R$ 3,3-3,5 mi no período).</w:t>
      </w:r>
    </w:p>
    <w:p>
      <w:pPr>
        <w:jc w:val="both"/>
      </w:pPr>
      <w:r>
        <w:rPr>
          <w:b/>
        </w:rPr>
        <w:t>Top 3 fornecedores:</w:t>
      </w:r>
      <w:r>
        <w:t xml:space="preserve"> TAM, GOL, AZUL - alinhado a passagens aéreas (</w:t>
      </w:r>
      <w:r>
        <w:rPr>
          <w:b/>
        </w:rPr>
        <w:t>H4</w:t>
      </w:r>
      <w:r>
        <w:t>).</w:t>
      </w:r>
    </w:p>
    <w:p>
      <w:pPr>
        <w:pStyle w:val="Heading3"/>
      </w:pPr>
      <w:r>
        <w:t>Figura 4 - Top deputados por valor liquidado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270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rq3_deputad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7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rFonts w:ascii="Times New Roman" w:hAnsi="Times New Roman"/>
          <w:i/>
          <w:color w:val="595959"/>
          <w:sz w:val="20"/>
        </w:rPr>
        <w:t>Top deputados</w:t>
      </w:r>
    </w:p>
    <w:p>
      <w:pPr>
        <w:jc w:val="both"/>
      </w:pPr>
      <w:r>
        <w:rPr>
          <w:b/>
        </w:rPr>
        <w:t>O que mostra:</w:t>
      </w:r>
      <w:r>
        <w:t xml:space="preserve"> ranking dos </w:t>
      </w:r>
      <w:r>
        <w:rPr>
          <w:b/>
        </w:rPr>
        <w:t>15 deputados</w:t>
      </w:r>
      <w:r>
        <w:t xml:space="preserve"> com maior soma de </w:t>
      </w:r>
      <w:r>
        <w:rPr>
          <w:rFonts w:ascii="Consolas" w:hAnsi="Consolas"/>
          <w:sz w:val="20"/>
        </w:rPr>
        <w:t>valor_liquido</w:t>
      </w:r>
      <w:r>
        <w:t xml:space="preserve"> (exclui </w:t>
      </w:r>
      <w:r>
        <w:rPr>
          <w:rFonts w:ascii="Consolas" w:hAnsi="Consolas"/>
          <w:sz w:val="20"/>
        </w:rPr>
        <w:t>LID</w:t>
      </w:r>
      <w:r>
        <w:t>/</w:t>
      </w:r>
      <w:r>
        <w:rPr>
          <w:rFonts w:ascii="Consolas" w:hAnsi="Consolas"/>
          <w:sz w:val="20"/>
        </w:rPr>
        <w:t>LIDER</w:t>
      </w:r>
      <w:r>
        <w:t xml:space="preserve">). </w:t>
      </w:r>
      <w:r>
        <w:rPr>
          <w:b/>
        </w:rPr>
        <w:t>Eixo Y:</w:t>
      </w:r>
      <w:r>
        <w:t xml:space="preserve"> nome; </w:t>
      </w:r>
      <w:r>
        <w:rPr>
          <w:b/>
        </w:rPr>
        <w:t>Eixo X:</w:t>
      </w:r>
      <w:r>
        <w:t xml:space="preserve"> total em R$ (2020-2025).</w:t>
      </w:r>
    </w:p>
    <w:p>
      <w:pPr>
        <w:jc w:val="both"/>
      </w:pPr>
      <w:r>
        <w:rPr>
          <w:b/>
        </w:rPr>
        <w:t>Mensagem em uma frase:</w:t>
      </w:r>
      <w:r>
        <w:t xml:space="preserve"> identifica quem mais movimentou cota no período - </w:t>
      </w:r>
      <w:r>
        <w:rPr>
          <w:b/>
        </w:rPr>
        <w:t>RQ3</w:t>
      </w:r>
      <w:r>
        <w:t xml:space="preserve"> e transparência; valores altos </w:t>
      </w:r>
      <w:r>
        <w:rPr>
          <w:b/>
        </w:rPr>
        <w:t>não</w:t>
      </w:r>
      <w:r>
        <w:t xml:space="preserve"> significam, por si só, irregularidade.</w:t>
      </w:r>
    </w:p>
    <w:p>
      <w:pPr>
        <w:pBdr>
          <w:bottom w:val="single" w:sz="6" w:space="5" w:color="BFBFBF"/>
        </w:pBdr>
      </w:pPr>
    </w:p>
    <w:p>
      <w:pPr>
        <w:pStyle w:val="Heading3"/>
      </w:pPr>
      <w:r>
        <w:t>Figura 5 - Top fornecedores por valor liquidado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270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rq3_fornecedor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7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rFonts w:ascii="Times New Roman" w:hAnsi="Times New Roman"/>
          <w:i/>
          <w:color w:val="595959"/>
          <w:sz w:val="20"/>
        </w:rPr>
        <w:t>Top fornecedores</w:t>
      </w:r>
    </w:p>
    <w:p>
      <w:pPr>
        <w:jc w:val="both"/>
      </w:pPr>
      <w:r>
        <w:rPr>
          <w:b/>
        </w:rPr>
        <w:t>O que mostra:</w:t>
      </w:r>
      <w:r>
        <w:t xml:space="preserve"> os </w:t>
      </w:r>
      <w:r>
        <w:rPr>
          <w:b/>
        </w:rPr>
        <w:t>15 fornecedores</w:t>
      </w:r>
      <w:r>
        <w:t xml:space="preserve"> que mais receberam recursos via CEAP (soma de todos os deputados). </w:t>
      </w:r>
      <w:r>
        <w:rPr>
          <w:b/>
        </w:rPr>
        <w:t>Eixo X:</w:t>
      </w:r>
      <w:r>
        <w:t xml:space="preserve"> R$.</w:t>
      </w:r>
    </w:p>
    <w:p>
      <w:pPr>
        <w:jc w:val="both"/>
      </w:pPr>
      <w:r>
        <w:rPr>
          <w:b/>
        </w:rPr>
        <w:t>Mensagem em uma frase:</w:t>
      </w:r>
      <w:r>
        <w:t xml:space="preserve"> o dinheiro da cota </w:t>
      </w:r>
      <w:r>
        <w:rPr>
          <w:b/>
        </w:rPr>
        <w:t>concentra-se em companhias aéreas</w:t>
      </w:r>
      <w:r>
        <w:t xml:space="preserve"> (TAM, GOL, AZUL), coerente com a Figura 2 - fecha a narrativa </w:t>
      </w:r>
      <w:r>
        <w:rPr>
          <w:b/>
        </w:rPr>
        <w:t>RQ1 -&gt; RQ3</w:t>
      </w:r>
      <w:r>
        <w:t>.</w:t>
      </w:r>
    </w:p>
    <w:p>
      <w:pPr>
        <w:ind w:left="360" w:right="216"/>
      </w:pPr>
      <w:r>
        <w:rPr>
          <w:i/>
          <w:color w:val="595959"/>
        </w:rPr>
        <w:t>**Demais gráficos** (evolução mensal, pizza, UF, boxplot, heatmap etc.) ficam no dashboard para exploração e defesa de perguntas do professor.</w:t>
      </w:r>
    </w:p>
    <w:p>
      <w:pPr>
        <w:pBdr>
          <w:bottom w:val="single" w:sz="6" w:space="5" w:color="BFBFBF"/>
        </w:pBdr>
      </w:pPr>
    </w:p>
    <w:p>
      <w:pPr>
        <w:pStyle w:val="Heading1"/>
      </w:pPr>
      <w:r>
        <w:t>5. Discussão dos resultados</w:t>
      </w:r>
    </w:p>
    <w:p>
      <w:pPr>
        <w:pStyle w:val="Heading2"/>
      </w:pPr>
      <w:r>
        <w:t>5.1 Confronto com as questões de pesquisa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87"/>
            <w:shd w:fill="EAF2F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RQ</w:t>
            </w:r>
          </w:p>
        </w:tc>
        <w:tc>
          <w:tcPr>
            <w:tcW w:type="dxa" w:w="3288"/>
            <w:shd w:fill="EAF2F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Resposta sintética</w:t>
            </w:r>
          </w:p>
        </w:tc>
        <w:tc>
          <w:tcPr>
            <w:tcW w:type="dxa" w:w="4195"/>
            <w:shd w:fill="EAF2F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Evidência principal</w:t>
            </w:r>
          </w:p>
        </w:tc>
      </w:tr>
      <w:tr>
        <w:tc>
          <w:tcPr>
            <w:tcW w:type="dxa" w:w="158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RQ1</w:t>
            </w:r>
          </w:p>
        </w:tc>
        <w:tc>
          <w:tcPr>
            <w:tcW w:type="dxa" w:w="328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Poucos tipos concentram a maior parte dos recursos</w:t>
            </w:r>
          </w:p>
        </w:tc>
        <w:tc>
          <w:tcPr>
            <w:tcW w:type="dxa" w:w="419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Pareto: top 5 aprox. 86%; divulgação (33,6%) + passagens SIGEPA (17,7%)</w:t>
            </w:r>
          </w:p>
        </w:tc>
      </w:tr>
      <w:tr>
        <w:tc>
          <w:tcPr>
            <w:tcW w:type="dxa" w:w="158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RQ2</w:t>
            </w:r>
          </w:p>
        </w:tc>
        <w:tc>
          <w:tcPr>
            <w:tcW w:type="dxa" w:w="328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Há variação relevante por partido e UF; métrica importa</w:t>
            </w:r>
          </w:p>
        </w:tc>
        <w:tc>
          <w:tcPr>
            <w:tcW w:type="dxa" w:w="419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PL/SP lideram em soma; PRD/PCdoB e BA lideram em mediana</w:t>
            </w:r>
          </w:p>
        </w:tc>
      </w:tr>
      <w:tr>
        <w:tc>
          <w:tcPr>
            <w:tcW w:type="dxa" w:w="158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RQ3</w:t>
            </w:r>
          </w:p>
        </w:tc>
        <w:tc>
          <w:tcPr>
            <w:tcW w:type="dxa" w:w="328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Gastos concentrados em fornecedores aéreos e em deputados com alto volume acumulado no período</w:t>
            </w:r>
          </w:p>
        </w:tc>
        <w:tc>
          <w:tcPr>
            <w:tcW w:type="dxa" w:w="419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TAM + GOL + AZUL; top deputados ~R$ 3,3-3,5 mi em 6 anos</w:t>
            </w:r>
          </w:p>
        </w:tc>
      </w:tr>
    </w:tbl>
    <w:p/>
    <w:p>
      <w:pPr>
        <w:pStyle w:val="Heading2"/>
      </w:pPr>
      <w:r>
        <w:t>5.2 Insights</w:t>
      </w:r>
    </w:p>
    <w:p>
      <w:pPr>
        <w:pStyle w:val="ListNumber"/>
      </w:pPr>
      <w:r>
        <w:rPr>
          <w:b/>
        </w:rPr>
        <w:t>Concentração estrutural:</w:t>
      </w:r>
      <w:r>
        <w:t xml:space="preserve"> a CEAP no recorte analisado é dominada por divulgação, transporte e apoio de escritório - categorias compatíveis com a finalidade da cota, mas que exigem leitura qualitativa para auditoria.</w:t>
      </w:r>
    </w:p>
    <w:p>
      <w:pPr>
        <w:pStyle w:val="ListNumber"/>
      </w:pPr>
      <w:r>
        <w:rPr>
          <w:b/>
        </w:rPr>
        <w:t>Comparações entre grupos:</w:t>
      </w:r>
      <w:r>
        <w:t xml:space="preserve"> usar apenas soma total confunde </w:t>
      </w:r>
      <w:r>
        <w:rPr>
          <w:b/>
        </w:rPr>
        <w:t>tamanho do grupo</w:t>
      </w:r>
      <w:r>
        <w:t xml:space="preserve"> com </w:t>
      </w:r>
      <w:r>
        <w:rPr>
          <w:b/>
        </w:rPr>
        <w:t>padrão de gasto por parlamentar</w:t>
      </w:r>
      <w:r>
        <w:t>; a mediana por deputado é essencial em RQ2.</w:t>
      </w:r>
    </w:p>
    <w:p>
      <w:pPr>
        <w:pStyle w:val="ListNumber"/>
      </w:pPr>
      <w:r>
        <w:rPr>
          <w:b/>
        </w:rPr>
        <w:t>Assimetria dos lançamentos:</w:t>
      </w:r>
      <w:r>
        <w:t xml:space="preserve"> mediana (R$ 259) muito inferior à média (R$ 1.131) confirma distribuição assimétrica (H5).</w:t>
      </w:r>
    </w:p>
    <w:p>
      <w:pPr>
        <w:pStyle w:val="ListNumber"/>
      </w:pPr>
      <w:r>
        <w:rPr>
          <w:b/>
        </w:rPr>
        <w:t>Sazonalidade:</w:t>
      </w:r>
      <w:r>
        <w:t xml:space="preserve"> a evolução mensal (dashboard) permite investigar picos em trabalhos futuros; a Figura 1 resume o crescimento anual.</w:t>
      </w:r>
    </w:p>
    <w:p>
      <w:pPr>
        <w:pStyle w:val="ListNumber"/>
      </w:pPr>
      <w:r>
        <w:rPr>
          <w:b/>
        </w:rPr>
        <w:t>Qualidade do dado:</w:t>
      </w:r>
      <w:r>
        <w:t xml:space="preserve"> 42,9 mil lançamentos com valor zero e registros de liderança sem partido padronizado exigem filtros explícitos no dashboard.</w:t>
      </w:r>
    </w:p>
    <w:p>
      <w:pPr>
        <w:pStyle w:val="Heading2"/>
      </w:pPr>
      <w:r>
        <w:t>5.3 Comparações e estatísticas</w:t>
      </w:r>
    </w:p>
    <w:p>
      <w:pPr>
        <w:pStyle w:val="ListBullet"/>
      </w:pPr>
      <w:r>
        <w:rPr>
          <w:b/>
        </w:rPr>
        <w:t>Entre anos:</w:t>
      </w:r>
      <w:r>
        <w:t xml:space="preserve"> valor total cresce de ~R$ 176 mi (2020) para ~R$ 264 mi (2024), com volume de lançamentos estável entre 208 mil e 237 mil/ano.</w:t>
      </w:r>
    </w:p>
    <w:p>
      <w:pPr>
        <w:pStyle w:val="ListBullet"/>
      </w:pPr>
      <w:r>
        <w:rPr>
          <w:b/>
        </w:rPr>
        <w:t>Entre métricas (RQ2):</w:t>
      </w:r>
      <w:r>
        <w:t xml:space="preserve"> correlação visual entre ranking por soma e por mediana é </w:t>
      </w:r>
      <w:r>
        <w:rPr>
          <w:b/>
        </w:rPr>
        <w:t>baixa</w:t>
      </w:r>
      <w:r>
        <w:t xml:space="preserve"> (ex.: PL 1º em soma, 5º em mediana; PRD não aparece no top 5 de soma, mas lidera mediana).</w:t>
      </w:r>
    </w:p>
    <w:p>
      <w:pPr>
        <w:pStyle w:val="ListBullet"/>
      </w:pPr>
      <w:r>
        <w:rPr>
          <w:b/>
        </w:rPr>
        <w:t>Dispersão intra-partido:</w:t>
      </w:r>
      <w:r>
        <w:t xml:space="preserve"> o boxplot no dashboard mostra variação entre deputados do mesmo partido.</w:t>
      </w:r>
    </w:p>
    <w:p>
      <w:pPr>
        <w:pStyle w:val="Heading2"/>
      </w:pPr>
      <w:r>
        <w:t>5.4 Confronto com trabalhos e literatura (Plus)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2551"/>
            <w:shd w:fill="EAF2F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Referência / linha de trabalho</w:t>
            </w:r>
          </w:p>
        </w:tc>
        <w:tc>
          <w:tcPr>
            <w:tcW w:type="dxa" w:w="6520"/>
            <w:shd w:fill="EAF2F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Relação com este experimento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Transparência ativa e LAI</w:t>
            </w:r>
            <w:r>
              <w:rPr>
                <w:sz w:val="20"/>
              </w:rPr>
              <w:t xml:space="preserve"> - estudos sobre abertura de dados no Legislativo brasileiro enfatizam que publicar CSV não garante compreensão; visualização e agregação são necessárias (ex.: debates sobre impacto da Transparência Brasil e do Portal da Transparência).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Corrobora</w:t>
            </w:r>
            <w:r>
              <w:rPr>
                <w:sz w:val="20"/>
              </w:rPr>
              <w:t xml:space="preserve"> a escolha de um dashboard narrativo em vez de apenas disponibilizar CSV.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Projetos de jornalismo de dados (Aos Fatos, Operação Serenata de Amor / Rosie etc.)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 xml:space="preserve">Utilizaram CEAP para apontar </w:t>
            </w:r>
            <w:r>
              <w:rPr>
                <w:b/>
                <w:sz w:val="20"/>
              </w:rPr>
              <w:t>concentrações</w:t>
            </w:r>
            <w:r>
              <w:rPr>
                <w:sz w:val="20"/>
              </w:rPr>
              <w:t xml:space="preserve"> e </w:t>
            </w:r>
            <w:r>
              <w:rPr>
                <w:b/>
                <w:sz w:val="20"/>
              </w:rPr>
              <w:t>fornecedores recorrentes</w:t>
            </w:r>
            <w:r>
              <w:rPr>
                <w:sz w:val="20"/>
              </w:rPr>
              <w:t xml:space="preserve"> - alinhado às nossas RQ1 e RQ3 (</w:t>
            </w:r>
            <w:r>
              <w:rPr>
                <w:b/>
                <w:sz w:val="20"/>
              </w:rPr>
              <w:t>corrobora</w:t>
            </w:r>
            <w:r>
              <w:rPr>
                <w:sz w:val="20"/>
              </w:rPr>
              <w:t xml:space="preserve"> padrões de concentração em poucas categorias e em fornecedores de transporte).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Críticas metodológicas em rankings de parlamentares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 xml:space="preserve">Rankings por </w:t>
            </w:r>
            <w:r>
              <w:rPr>
                <w:b/>
                <w:sz w:val="20"/>
              </w:rPr>
              <w:t>soma bruta</w:t>
            </w:r>
            <w:r>
              <w:rPr>
                <w:sz w:val="20"/>
              </w:rPr>
              <w:t xml:space="preserve"> sem normalizar mandato, UF ou tempo de casa podem </w:t>
            </w:r>
            <w:r>
              <w:rPr>
                <w:b/>
                <w:sz w:val="20"/>
              </w:rPr>
              <w:t>estigmatizar</w:t>
            </w:r>
            <w:r>
              <w:rPr>
                <w:sz w:val="20"/>
              </w:rPr>
              <w:t xml:space="preserve"> sem contexto - </w:t>
            </w:r>
            <w:r>
              <w:rPr>
                <w:b/>
                <w:sz w:val="20"/>
              </w:rPr>
              <w:t>contesta</w:t>
            </w:r>
            <w:r>
              <w:rPr>
                <w:sz w:val="20"/>
              </w:rPr>
              <w:t xml:space="preserve"> interpretação simplista do nosso ranking RQ3; reforça necessidade de mediana, filtros e notas de rodapé (incluídas neste relatório).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sz w:val="20"/>
              </w:rPr>
              <w:t>GQM em experimentação de software (Basili et al.)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 xml:space="preserve">Objetivo de “explorar dados para decisão” mapeado em questões (RQ) e métricas (soma, mediana, %) - </w:t>
            </w:r>
            <w:r>
              <w:rPr>
                <w:b/>
                <w:sz w:val="20"/>
              </w:rPr>
              <w:t>corrobora</w:t>
            </w:r>
            <w:r>
              <w:rPr>
                <w:sz w:val="20"/>
              </w:rPr>
              <w:t xml:space="preserve"> estrutura do laboratório.</w:t>
            </w:r>
          </w:p>
        </w:tc>
      </w:tr>
    </w:tbl>
    <w:p/>
    <w:p>
      <w:pPr>
        <w:jc w:val="both"/>
      </w:pPr>
      <w:r>
        <w:rPr>
          <w:b/>
        </w:rPr>
        <w:t>Síntese:</w:t>
      </w:r>
      <w:r>
        <w:t xml:space="preserve"> os achados quantitativos são </w:t>
      </w:r>
      <w:r>
        <w:rPr>
          <w:b/>
        </w:rPr>
        <w:t>consistentes</w:t>
      </w:r>
      <w:r>
        <w:t xml:space="preserve"> com a literatura prática sobre CEAP (concentração e fornecedores aéreos), mas este trabalho </w:t>
      </w:r>
      <w:r>
        <w:rPr>
          <w:b/>
        </w:rPr>
        <w:t>refina</w:t>
      </w:r>
      <w:r>
        <w:t xml:space="preserve"> a comparação partido/UF com mediana por deputado, reduzindo um viés comum em análises públicas superficiais.</w:t>
      </w:r>
    </w:p>
    <w:p>
      <w:pPr>
        <w:pBdr>
          <w:bottom w:val="single" w:sz="6" w:space="5" w:color="BFBFBF"/>
        </w:pBdr>
      </w:pPr>
    </w:p>
    <w:p>
      <w:pPr>
        <w:pStyle w:val="Heading1"/>
      </w:pPr>
      <w:r>
        <w:t>6. Conclusão</w:t>
      </w:r>
    </w:p>
    <w:p>
      <w:pPr>
        <w:pStyle w:val="Heading2"/>
      </w:pPr>
      <w:r>
        <w:t>6.1 Tomada de decisão</w:t>
      </w:r>
    </w:p>
    <w:p>
      <w:pPr>
        <w:jc w:val="both"/>
      </w:pPr>
      <w:r>
        <w:t>Com base no experimento, um gestor público, pesquisador ou cidadão pode:</w:t>
      </w:r>
    </w:p>
    <w:p>
      <w:pPr>
        <w:pStyle w:val="ListBullet"/>
      </w:pPr>
      <w:r>
        <w:rPr>
          <w:b/>
        </w:rPr>
        <w:t>Priorizar auditoria</w:t>
      </w:r>
      <w:r>
        <w:t xml:space="preserve"> nas categorias de divulgação e passagens aéreas (maior impacto financeiro).</w:t>
      </w:r>
    </w:p>
    <w:p>
      <w:pPr>
        <w:pStyle w:val="ListBullet"/>
      </w:pPr>
      <w:r>
        <w:rPr>
          <w:b/>
        </w:rPr>
        <w:t>Comparar partidos e UFs</w:t>
      </w:r>
      <w:r>
        <w:t xml:space="preserve"> usando </w:t>
      </w:r>
      <w:r>
        <w:rPr>
          <w:b/>
        </w:rPr>
        <w:t>mediana por deputado</w:t>
      </w:r>
      <w:r>
        <w:t>, não apenas volume total.</w:t>
      </w:r>
    </w:p>
    <w:p>
      <w:pPr>
        <w:pStyle w:val="ListBullet"/>
      </w:pPr>
      <w:r>
        <w:rPr>
          <w:b/>
        </w:rPr>
        <w:t>Monitorar fornecedores</w:t>
      </w:r>
      <w:r>
        <w:t xml:space="preserve"> com maior volume agregado (setor aéreo) como ponto de partida para análise de contratos e notas fiscais.</w:t>
      </w:r>
    </w:p>
    <w:p>
      <w:pPr>
        <w:pStyle w:val="ListBullet"/>
      </w:pPr>
      <w:r>
        <w:rPr>
          <w:b/>
        </w:rPr>
        <w:t>Reproduzir</w:t>
      </w:r>
      <w:r>
        <w:t xml:space="preserve"> a análise atualizando os scripts quando novos anos forem publicados.</w:t>
      </w:r>
    </w:p>
    <w:p>
      <w:pPr>
        <w:pStyle w:val="Heading2"/>
      </w:pPr>
      <w:r>
        <w:t>6.2 Sugestões futuras</w:t>
      </w:r>
    </w:p>
    <w:p>
      <w:pPr>
        <w:pStyle w:val="ListNumber"/>
      </w:pPr>
      <w:r>
        <w:t xml:space="preserve">Normalizar gastos por </w:t>
      </w:r>
      <w:r>
        <w:rPr>
          <w:b/>
        </w:rPr>
        <w:t>tempo de mandato</w:t>
      </w:r>
      <w:r>
        <w:t xml:space="preserve"> e </w:t>
      </w:r>
      <w:r>
        <w:rPr>
          <w:b/>
        </w:rPr>
        <w:t>distância da capital</w:t>
      </w:r>
      <w:r>
        <w:t>.</w:t>
      </w:r>
    </w:p>
    <w:p>
      <w:pPr>
        <w:pStyle w:val="ListNumber"/>
      </w:pPr>
      <w:r>
        <w:t xml:space="preserve">Cruzar CEAP com API de </w:t>
      </w:r>
      <w:r>
        <w:rPr>
          <w:color w:val="000000"/>
          <w:u w:val="single"/>
        </w:rPr>
        <w:t>deputados (https://dadosabertos.camara.leg.br/)</w:t>
      </w:r>
      <w:r>
        <w:t xml:space="preserve"> (dados biográficos, comissões).</w:t>
      </w:r>
    </w:p>
    <w:p>
      <w:pPr>
        <w:pStyle w:val="ListNumber"/>
      </w:pPr>
      <w:r>
        <w:t xml:space="preserve">Detectar </w:t>
      </w:r>
      <w:r>
        <w:rPr>
          <w:b/>
        </w:rPr>
        <w:t>fornecedores compartilhados</w:t>
      </w:r>
      <w:r>
        <w:t xml:space="preserve"> entre deputados (grafos).</w:t>
      </w:r>
    </w:p>
    <w:p>
      <w:pPr>
        <w:pStyle w:val="ListNumber"/>
      </w:pPr>
      <w:r>
        <w:t>Incluir testes estatísticos (Kruskal-Wallis entre UFs, por exemplo).</w:t>
      </w:r>
    </w:p>
    <w:p>
      <w:pPr>
        <w:pStyle w:val="ListNumber"/>
      </w:pPr>
      <w:r>
        <w:t xml:space="preserve">Exportar o dashboard inteiro em PDF automatizado (Streamlit -&gt; print ou </w:t>
      </w:r>
      <w:r>
        <w:rPr>
          <w:rFonts w:ascii="Consolas" w:hAnsi="Consolas"/>
          <w:sz w:val="20"/>
        </w:rPr>
        <w:t>pdfkit</w:t>
      </w:r>
      <w:r>
        <w:t>).</w:t>
      </w:r>
    </w:p>
    <w:p>
      <w:pPr>
        <w:pStyle w:val="Heading2"/>
      </w:pPr>
      <w:r>
        <w:t>6.3 Resultado conclusivo</w:t>
      </w:r>
    </w:p>
    <w:p>
      <w:pPr>
        <w:jc w:val="both"/>
      </w:pPr>
      <w:r>
        <w:t xml:space="preserve">O Laboratório 04 foi concluído com </w:t>
      </w:r>
      <w:r>
        <w:rPr>
          <w:b/>
        </w:rPr>
        <w:t>pipeline reprodutível</w:t>
      </w:r>
      <w:r>
        <w:t xml:space="preserve">, </w:t>
      </w:r>
      <w:r>
        <w:rPr>
          <w:b/>
        </w:rPr>
        <w:t>dashboard interativo</w:t>
      </w:r>
      <w:r>
        <w:t xml:space="preserve"> completo e </w:t>
      </w:r>
      <w:r>
        <w:rPr>
          <w:b/>
        </w:rPr>
        <w:t>5 figuras</w:t>
      </w:r>
      <w:r>
        <w:t xml:space="preserve"> neste relatório para apresentação rápida em sala. A CEAP entre 2020 e 2025 apresenta </w:t>
      </w:r>
      <w:r>
        <w:rPr>
          <w:b/>
        </w:rPr>
        <w:t>alta concentração em poucas rubricas</w:t>
      </w:r>
      <w:r>
        <w:t xml:space="preserve">, </w:t>
      </w:r>
      <w:r>
        <w:rPr>
          <w:b/>
        </w:rPr>
        <w:t>diferenças metodológicas entre soma e mediana</w:t>
      </w:r>
      <w:r>
        <w:t xml:space="preserve"> nos recortes partidário e geográfico, e </w:t>
      </w:r>
      <w:r>
        <w:rPr>
          <w:b/>
        </w:rPr>
        <w:t>dominância de fornecedores aéreos</w:t>
      </w:r>
      <w:r>
        <w:t xml:space="preserve"> nos maiores valores. A entrega atende ao trabalho alternativo (base pública + relatório com introdução, metodologia, resultados e discussão) e está pronta para conversão em PDF e apresentação em sala.</w:t>
      </w:r>
    </w:p>
    <w:p>
      <w:pPr>
        <w:pBdr>
          <w:bottom w:val="single" w:sz="6" w:space="5" w:color="BFBFBF"/>
        </w:pBdr>
      </w:pPr>
    </w:p>
    <w:p>
      <w:pPr>
        <w:pStyle w:val="Heading1"/>
      </w:pPr>
      <w:r>
        <w:t>Referências</w:t>
      </w:r>
    </w:p>
    <w:p>
      <w:pPr>
        <w:pStyle w:val="ListNumber"/>
      </w:pPr>
      <w:r>
        <w:t xml:space="preserve">CÂMARA DOS DEPUTADOS. </w:t>
      </w:r>
      <w:r>
        <w:rPr>
          <w:b/>
        </w:rPr>
        <w:t>Dados Abertos - CEAP</w:t>
      </w:r>
      <w:r>
        <w:t>. Disponível em: https://dadosabertos.camara.leg.br/. Acesso em: 28 maio 2026.</w:t>
      </w:r>
    </w:p>
    <w:p>
      <w:pPr>
        <w:pStyle w:val="ListNumber"/>
      </w:pPr>
      <w:r>
        <w:t xml:space="preserve">CÂMARA DOS DEPUTADOS. </w:t>
      </w:r>
      <w:r>
        <w:rPr>
          <w:b/>
        </w:rPr>
        <w:t>Dados Abertos - Legislativo</w:t>
      </w:r>
      <w:r>
        <w:t xml:space="preserve"> (webservices). Disponível em: https://www2.camara.leg.br/transparencia/dados-abertos/dados-abertos-legislativo. Acesso em: 28 maio 2026.</w:t>
      </w:r>
    </w:p>
    <w:p>
      <w:pPr>
        <w:pStyle w:val="ListNumber"/>
      </w:pPr>
      <w:r>
        <w:t xml:space="preserve">BASILI, V. R.; ROMBACH, H. D.; CALDIERA, G. </w:t>
      </w:r>
      <w:r>
        <w:rPr>
          <w:b/>
        </w:rPr>
        <w:t>Goal Question Metric Paradigm</w:t>
      </w:r>
      <w:r>
        <w:t>. Encyclopedia of Software Engineering, 1994.</w:t>
      </w:r>
    </w:p>
    <w:p>
      <w:pPr>
        <w:pStyle w:val="ListNumber"/>
      </w:pPr>
      <w:r>
        <w:t xml:space="preserve">MICHELIN, L. et al. </w:t>
      </w:r>
      <w:r>
        <w:rPr>
          <w:b/>
        </w:rPr>
        <w:t>Serenata de Amor</w:t>
      </w:r>
      <w:r>
        <w:t xml:space="preserve">: experiência de ciência de dados cívica sobre gastos públicos. </w:t>
      </w:r>
      <w:r>
        <w:rPr>
          <w:i/>
        </w:rPr>
        <w:t>Coding Rights</w:t>
      </w:r>
      <w:r>
        <w:t xml:space="preserve"> / projeto Rosie, 2016-2019.</w:t>
      </w:r>
    </w:p>
    <w:p>
      <w:pPr>
        <w:pStyle w:val="ListNumber"/>
      </w:pPr>
      <w:r>
        <w:t>TRANSPARÊNCIA BRASIL. Publicação e uso de dados abertos no poder público. Materiais institucionais, 2020-2024.</w:t>
      </w:r>
    </w:p>
    <w:p>
      <w:pPr>
        <w:pBdr>
          <w:bottom w:val="single" w:sz="6" w:space="5" w:color="BFBFBF"/>
        </w:pBdr>
      </w:pPr>
    </w:p>
    <w:p>
      <w:pPr>
        <w:pStyle w:val="Heading1"/>
      </w:pPr>
      <w:r>
        <w:t>Apêndice A - Como reproduzir figuras e dashboard</w:t>
      </w:r>
    </w:p>
    <w:p>
      <w:pPr>
        <w:spacing w:before="80" w:after="160" w:line="240" w:lineRule="auto"/>
        <w:ind w:left="360" w:right="216"/>
        <w:shd w:fill="F7F7F7"/>
      </w:pPr>
      <w:r>
        <w:rPr>
          <w:rFonts w:ascii="Consolas" w:hAnsi="Consolas" w:eastAsia="Consolas"/>
          <w:sz w:val="20"/>
        </w:rPr>
        <w:t>python laboratorio4/scripts/coleta_ceap.py</w:t>
        <w:br/>
        <w:t>python laboratorio4/scripts/prepara_dados.py</w:t>
        <w:br/>
        <w:t>python laboratorio4/scripts/exportar_figuras_relatorio.py</w:t>
        <w:br/>
        <w:t>streamlit run laboratorio4/app/dashboard.py</w:t>
      </w:r>
    </w:p>
    <w:p>
      <w:pPr>
        <w:pStyle w:val="Heading1"/>
      </w:pPr>
      <w:r>
        <w:t>Apêndice B - Entregáveis do Lab04 (checklist)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2551"/>
            <w:shd w:fill="EAF2F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Item do enunciado</w:t>
            </w:r>
          </w:p>
        </w:tc>
        <w:tc>
          <w:tcPr>
            <w:tcW w:type="dxa" w:w="6520"/>
            <w:shd w:fill="EAF2F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Arquivo / artefato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Caracterização do dataset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 xml:space="preserve">Seção 3 (tabelas) + </w:t>
            </w:r>
            <w:r>
              <w:rPr>
                <w:b/>
                <w:sz w:val="20"/>
              </w:rPr>
              <w:t>Figura 1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Visualizações RQ1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 xml:space="preserve">Seção 4.1 + </w:t>
            </w:r>
            <w:r>
              <w:rPr>
                <w:b/>
                <w:sz w:val="20"/>
              </w:rPr>
              <w:t>Figura 2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Visualizações RQ2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 xml:space="preserve">Seção 4.2 + </w:t>
            </w:r>
            <w:r>
              <w:rPr>
                <w:b/>
                <w:sz w:val="20"/>
              </w:rPr>
              <w:t>Figura 3</w:t>
            </w:r>
            <w:r>
              <w:rPr>
                <w:sz w:val="20"/>
              </w:rPr>
              <w:t xml:space="preserve"> (+ tabelas UF/partido)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Visualizações RQ3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 xml:space="preserve">Seção 4.3 + </w:t>
            </w:r>
            <w:r>
              <w:rPr>
                <w:b/>
                <w:sz w:val="20"/>
              </w:rPr>
              <w:t>Figuras 4-5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Dashboard interativo (todos os gráficos)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sz w:val="20"/>
              </w:rPr>
              <w:t>app/dashboard.py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Relatório (apresentação rápida)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 xml:space="preserve">Este documento - </w:t>
            </w:r>
            <w:r>
              <w:rPr>
                <w:b/>
                <w:sz w:val="20"/>
              </w:rPr>
              <w:t>5 figuras</w:t>
            </w:r>
          </w:p>
        </w:tc>
      </w:tr>
      <w:tr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Figuras exportadas</w:t>
            </w:r>
          </w:p>
        </w:tc>
        <w:tc>
          <w:tcPr>
            <w:tcW w:type="dxa" w:w="652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sz w:val="20"/>
              </w:rPr>
              <w:t>relatorios/figuras/*.png</w:t>
            </w:r>
          </w:p>
        </w:tc>
      </w:tr>
    </w:tbl>
    <w:p/>
    <w:p>
      <w:pPr>
        <w:pStyle w:val="Heading2"/>
      </w:pPr>
      <w:r>
        <w:t>Índice das 5 figuras deste relatório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87"/>
            <w:shd w:fill="EAF2F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Figura</w:t>
            </w:r>
          </w:p>
        </w:tc>
        <w:tc>
          <w:tcPr>
            <w:tcW w:type="dxa" w:w="3288"/>
            <w:shd w:fill="EAF2F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Arquivo</w:t>
            </w:r>
          </w:p>
        </w:tc>
        <w:tc>
          <w:tcPr>
            <w:tcW w:type="dxa" w:w="4195"/>
            <w:shd w:fill="EAF2F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Uso na apresentação (~1 min)</w:t>
            </w:r>
          </w:p>
        </w:tc>
      </w:tr>
      <w:tr>
        <w:tc>
          <w:tcPr>
            <w:tcW w:type="dxa" w:w="158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328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sz w:val="20"/>
              </w:rPr>
              <w:t>01_caract_valor_ano.png</w:t>
            </w:r>
          </w:p>
        </w:tc>
        <w:tc>
          <w:tcPr>
            <w:tcW w:type="dxa" w:w="419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“Quanto dados temos?”</w:t>
            </w:r>
          </w:p>
        </w:tc>
      </w:tr>
      <w:tr>
        <w:tc>
          <w:tcPr>
            <w:tcW w:type="dxa" w:w="158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right"/>
            </w:pPr>
            <w:r>
              <w:rPr>
                <w:sz w:val="20"/>
              </w:rPr>
              <w:t>2</w:t>
            </w:r>
          </w:p>
        </w:tc>
        <w:tc>
          <w:tcPr>
            <w:tcW w:type="dxa" w:w="328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sz w:val="20"/>
              </w:rPr>
              <w:t>07_rq1_pareto.png</w:t>
            </w:r>
          </w:p>
        </w:tc>
        <w:tc>
          <w:tcPr>
            <w:tcW w:type="dxa" w:w="419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“Onde vai o dinheiro?” (RQ1)</w:t>
            </w:r>
          </w:p>
        </w:tc>
      </w:tr>
      <w:tr>
        <w:tc>
          <w:tcPr>
            <w:tcW w:type="dxa" w:w="158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right"/>
            </w:pPr>
            <w:r>
              <w:rPr>
                <w:sz w:val="20"/>
              </w:rPr>
              <w:t>3</w:t>
            </w:r>
          </w:p>
        </w:tc>
        <w:tc>
          <w:tcPr>
            <w:tcW w:type="dxa" w:w="328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sz w:val="20"/>
              </w:rPr>
              <w:t>12_rq2_partido_mediana.png</w:t>
            </w:r>
          </w:p>
        </w:tc>
        <w:tc>
          <w:tcPr>
            <w:tcW w:type="dxa" w:w="419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“Como comparar partidos?” (RQ2)</w:t>
            </w:r>
          </w:p>
        </w:tc>
      </w:tr>
      <w:tr>
        <w:tc>
          <w:tcPr>
            <w:tcW w:type="dxa" w:w="158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right"/>
            </w:pPr>
            <w:r>
              <w:rPr>
                <w:sz w:val="20"/>
              </w:rPr>
              <w:t>4</w:t>
            </w:r>
          </w:p>
        </w:tc>
        <w:tc>
          <w:tcPr>
            <w:tcW w:type="dxa" w:w="328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sz w:val="20"/>
              </w:rPr>
              <w:t>17_rq3_deputados.png</w:t>
            </w:r>
          </w:p>
        </w:tc>
        <w:tc>
          <w:tcPr>
            <w:tcW w:type="dxa" w:w="419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“Quem mais gastou?” (RQ3)</w:t>
            </w:r>
          </w:p>
        </w:tc>
      </w:tr>
      <w:tr>
        <w:tc>
          <w:tcPr>
            <w:tcW w:type="dxa" w:w="1587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right"/>
            </w:pPr>
            <w:r>
              <w:rPr>
                <w:sz w:val="20"/>
              </w:rPr>
              <w:t>5</w:t>
            </w:r>
          </w:p>
        </w:tc>
        <w:tc>
          <w:tcPr>
            <w:tcW w:type="dxa" w:w="328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Consolas" w:hAnsi="Consolas"/>
                <w:sz w:val="20"/>
              </w:rPr>
              <w:t>18_rq3_fornecedores.png</w:t>
            </w:r>
          </w:p>
        </w:tc>
        <w:tc>
          <w:tcPr>
            <w:tcW w:type="dxa" w:w="419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sz w:val="20"/>
              </w:rPr>
              <w:t>“Quem mais recebeu?” (RQ3)</w:t>
            </w:r>
          </w:p>
        </w:tc>
      </w:tr>
    </w:tbl>
    <w:p/>
    <w:p>
      <w:pPr>
        <w:pBdr>
          <w:bottom w:val="single" w:sz="6" w:space="5" w:color="BFBFBF"/>
        </w:pBdr>
      </w:pPr>
    </w:p>
    <w:p>
      <w:pPr>
        <w:jc w:val="both"/>
      </w:pPr>
      <w:r>
        <w:rPr>
          <w:i/>
        </w:rPr>
        <w:t>Relatório gerado para conversão em PDF. Mantenha a pasta `figuras/` no mesmo diretório deste arquivo ao exportar.</w:t>
      </w:r>
    </w:p>
    <w:sectPr w:rsidR="00FC693F" w:rsidRPr="0006063C" w:rsidSect="00034616">
      <w:headerReference w:type="default" r:id="rId9"/>
      <w:pgSz w:w="11906" w:h="16838"/>
      <w:pgMar w:top="1701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6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360" w:lineRule="auto"/>
      <w:jc w:val="left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36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aps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 w:line="360" w:lineRule="auto"/>
      <w:jc w:val="center"/>
    </w:pPr>
    <w:rPr>
      <w:rFonts w:asciiTheme="majorHAnsi" w:eastAsiaTheme="majorEastAsia" w:hAnsiTheme="majorHAnsi" w:cstheme="majorBidi" w:ascii="Times New Roman" w:hAnsi="Times New Roman" w:eastAsia="Times New Roman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 w:line="360" w:lineRule="auto"/>
      <w:contextualSpacing/>
    </w:pPr>
    <w:rPr>
      <w:rFonts w:ascii="Times New Roman" w:hAnsi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0" w:line="360" w:lineRule="auto"/>
      <w:contextualSpacing/>
    </w:pPr>
    <w:rPr>
      <w:rFonts w:ascii="Times New Roman" w:hAnsi="Times New Roman" w:eastAsia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Final - Laboratorio 04</dc:title>
  <dc:subject>Visualizacao de Dados Abertos Governamentais: Despesas da CEAP</dc:subject>
  <dc:creator>Codex</dc:creator>
  <cp:keywords/>
  <dc:description>Documento convertido a partir de Markdown.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