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F6F78"/>
          <w:sz w:val="68"/>
        </w:rPr>
        <w:t>EVE</w:t>
      </w:r>
    </w:p>
    <w:p>
      <w:r>
        <w:t>Package ID: EVE_03_Canonical_Catalog_v0_1</w:t>
      </w:r>
    </w:p>
    <w:p>
      <w:r>
        <w:t>Package aliases: EVE_03_Canonical_Catalog_Chip_v0_1</w:t>
      </w:r>
    </w:p>
    <w:p>
      <w:r>
        <w:t>not_a_prompt: true</w:t>
      </w:r>
    </w:p>
    <w:p>
      <w:pPr>
        <w:spacing w:before="240"/>
        <w:jc w:val="center"/>
      </w:pPr>
      <w:r>
        <w:rPr>
          <w:rFonts w:ascii="Arial" w:hAnsi="Arial"/>
          <w:b/>
          <w:color w:val="16324F"/>
          <w:sz w:val="50"/>
        </w:rPr>
        <w:t>03 CANONICAL CATALOG</w:t>
      </w:r>
    </w:p>
    <w:p>
      <w:pPr>
        <w:pStyle w:val="EVESubtitle"/>
        <w:jc w:val="center"/>
      </w:pPr>
      <w:r>
        <w:t>Registro rector de nodos, códigos, variables, rutas críticas y política epistemológica</w:t>
      </w:r>
    </w:p>
    <w:p>
      <w:pPr>
        <w:spacing w:before="560"/>
        <w:jc w:val="center"/>
      </w:pPr>
      <w:r>
        <w:rPr>
          <w:rFonts w:ascii="Arial" w:hAnsi="Arial"/>
          <w:b/>
          <w:sz w:val="20"/>
        </w:rPr>
        <w:t xml:space="preserve">Chip ID: </w:t>
      </w:r>
      <w:r>
        <w:rPr>
          <w:rFonts w:ascii="Arial" w:hAnsi="Arial"/>
          <w:sz w:val="20"/>
        </w:rPr>
        <w:t>EVE-03-CANONICAL-CATALOG</w:t>
        <w:br/>
      </w:r>
      <w:r>
        <w:rPr>
          <w:rFonts w:ascii="Arial" w:hAnsi="Arial"/>
          <w:b/>
          <w:sz w:val="20"/>
        </w:rPr>
        <w:t xml:space="preserve">Versión: </w:t>
      </w:r>
      <w:r>
        <w:rPr>
          <w:rFonts w:ascii="Arial" w:hAnsi="Arial"/>
          <w:sz w:val="20"/>
        </w:rPr>
        <w:t>0.1.0</w:t>
        <w:br/>
      </w:r>
      <w:r>
        <w:rPr>
          <w:rFonts w:ascii="Arial" w:hAnsi="Arial"/>
          <w:b/>
          <w:sz w:val="20"/>
        </w:rPr>
        <w:t xml:space="preserve">Estado: </w:t>
      </w:r>
      <w:r>
        <w:rPr>
          <w:rFonts w:ascii="Arial" w:hAnsi="Arial"/>
          <w:sz w:val="20"/>
        </w:rPr>
        <w:t>READY_WITH_FLAGS</w:t>
        <w:br/>
      </w:r>
      <w:r>
        <w:rPr>
          <w:rFonts w:ascii="Arial" w:hAnsi="Arial"/>
          <w:b/>
          <w:sz w:val="20"/>
        </w:rPr>
        <w:t xml:space="preserve">Generado: </w:t>
      </w:r>
      <w:r>
        <w:rPr>
          <w:rFonts w:ascii="Arial" w:hAnsi="Arial"/>
          <w:sz w:val="20"/>
        </w:rPr>
        <w:t>2026-06-18T16:30:14+00:00</w:t>
        <w:br/>
      </w:r>
    </w:p>
    <w:p>
      <w:pPr>
        <w:spacing w:before="800"/>
        <w:jc w:val="center"/>
      </w:pPr>
      <w:r>
        <w:rPr>
          <w:rFonts w:ascii="Arial" w:hAnsi="Arial"/>
          <w:i/>
          <w:color w:val="666666"/>
          <w:sz w:val="18"/>
        </w:rPr>
        <w:t>Documento rector humano. El XLSX/JSON/TS contienen el catálogo ejecutable completo.</w:t>
      </w:r>
    </w:p>
    <w:p>
      <w:r>
        <w:br w:type="page"/>
      </w:r>
    </w:p>
    <w:p>
      <w:pPr>
        <w:pStyle w:val="Heading1"/>
      </w:pPr>
      <w:r>
        <w:t>1. Dictamen ejecutivo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120" w:before="120"/>
              <w:jc w:val="center"/>
            </w:pPr>
            <w:r/>
            <w:r>
              <w:rPr>
                <w:rFonts w:ascii="Arial" w:hAnsi="Arial"/>
                <w:b/>
                <w:color w:val="7F6000"/>
                <w:sz w:val="20"/>
              </w:rPr>
              <w:t>READY_WITH_FLAGS — Genealogía completa; definiciones de variables pendientes y duplicidades preservadas explícitamente.</w:t>
            </w:r>
          </w:p>
        </w:tc>
      </w:tr>
    </w:tbl>
    <w:p>
      <w:pPr>
        <w:spacing w:after="20"/>
      </w:pPr>
    </w:p>
    <w:p>
      <w:r>
        <w:t>La Fase 3 convierte el Catálogo Madre Capa 1 en un registro canónico ejecutable sin reducirlo a la experiencia 40+20. El chip preserva 164 nodos, 164 códigos originales, 4 rutas críticas, 246 filas fuente de variables y las políticas epistemológicas asociadas. Su función es conservar identidad, linaje y condiciones de uso; no diagnostica, no exporta y no fija una estructura VSM.</w:t>
      </w:r>
    </w:p>
    <w:p>
      <w:r>
        <w:t>El dictamen no es COMPLETE ni CERTIFIED. Existen 33 referencias de variables sin definición en Variables_Canonicas_Source, 23 nombres duplicados y 5 grupos con variantes de definición. Estas condiciones se registran como evidencia pendiente; no se corrigen por inferencia.</w:t>
      </w:r>
    </w:p>
    <w:p>
      <w:pPr>
        <w:pStyle w:val="Heading1"/>
      </w:pPr>
      <w:r>
        <w:t>2. Propósito y frontera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4176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Incluye</w:t>
            </w:r>
          </w:p>
        </w:tc>
        <w:tc>
          <w:tcPr>
            <w:tcW w:type="dxa" w:w="4176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Excluye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Genealogía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Nodos, códigos, documentos fuente, filas, versiones y fingerprints.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Renombrado, borrado o sobreescritura de IDs.</w:t>
            </w:r>
          </w:p>
        </w:tc>
      </w:tr>
      <w:tr>
        <w:tc>
          <w:tcPr>
            <w:tcW w:type="dxa" w:w="172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Variables</w:t>
            </w:r>
          </w:p>
        </w:tc>
        <w:tc>
          <w:tcPr>
            <w:tcW w:type="dxa" w:w="417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Definiciones fuente, referencias, duplicidades, linaje y gaps.</w:t>
            </w:r>
          </w:p>
        </w:tc>
        <w:tc>
          <w:tcPr>
            <w:tcW w:type="dxa" w:w="417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Definiciones inventadas o cierre por texto libre.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Rutas críticas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Miembros, reglas, bloqueo, downstream y variables vinculadas.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Cierre por inferencia libre.</w:t>
            </w:r>
          </w:p>
        </w:tc>
      </w:tr>
      <w:tr>
        <w:tc>
          <w:tcPr>
            <w:tcW w:type="dxa" w:w="172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Epistemología</w:t>
            </w:r>
          </w:p>
        </w:tc>
        <w:tc>
          <w:tcPr>
            <w:tcW w:type="dxa" w:w="417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Provenance, confirmación, no inferencia, audit log y reentry.</w:t>
            </w:r>
          </w:p>
        </w:tc>
        <w:tc>
          <w:tcPr>
            <w:tcW w:type="dxa" w:w="417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Evidencia dura sin confirmación.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VSM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Señales candidatas y guardias metodológicas.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Diagnóstico VSM, recursión o arquetipos cerrados.</w:t>
            </w:r>
          </w:p>
        </w:tc>
      </w:tr>
      <w:tr>
        <w:tc>
          <w:tcPr>
            <w:tcW w:type="dxa" w:w="172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Runtime</w:t>
            </w:r>
          </w:p>
        </w:tc>
        <w:tc>
          <w:tcPr>
            <w:tcW w:type="dxa" w:w="417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Compatibilidad de nodos/códigos con las 40+20 interacciones.</w:t>
            </w:r>
          </w:p>
        </w:tc>
        <w:tc>
          <w:tcPr>
            <w:tcW w:type="dxa" w:w="417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Reducción operativa; corresponde a la Fase 4.</w:t>
            </w:r>
          </w:p>
        </w:tc>
      </w:tr>
    </w:tbl>
    <w:p>
      <w:pPr>
        <w:spacing w:after="20"/>
      </w:pPr>
    </w:p>
    <w:p>
      <w:pPr>
        <w:pStyle w:val="Heading1"/>
      </w:pPr>
      <w:r>
        <w:t>3. Autoridad documental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20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2160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4320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Autoridad en Fase 3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D8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EVE_Catalogo_Madre_Capa1_v1_0_Bloques_0_0_5_1_7.xlsx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primary_canonical_source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Nodos, códigos originales, variables fuente, rutas críticas, gobernanza epistemológica, mappings MMABP y preparación VSM/AHE.</w:t>
            </w:r>
          </w:p>
        </w:tc>
      </w:tr>
      <w:tr>
        <w:tc>
          <w:tcPr>
            <w:tcW w:type="dxa" w:w="72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D7</w:t>
            </w:r>
          </w:p>
        </w:tc>
        <w:tc>
          <w:tcPr>
            <w:tcW w:type="dxa" w:w="302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Arquitectura_Runtime_40_20_EVE_MMABP.docx</w:t>
            </w:r>
          </w:p>
        </w:tc>
        <w:tc>
          <w:tcPr>
            <w:tcW w:type="dxa" w:w="216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supporting_architecture_boundary</w:t>
            </w:r>
          </w:p>
        </w:tc>
        <w:tc>
          <w:tcPr>
            <w:tcW w:type="dxa" w:w="432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Preserva Catálogo Madre; define que la reducción 40+20 ocurre en runtime y no por eliminación de genealogía.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D5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Catalogo_Runtime_40_20_EVE_MMABP_v1_1_1_Operacional_Ajustado.docx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supporting_normative_boundary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Autoridad entre artefactos, reglas de frontera, gates, QA y uso del Catálogo Madre.</w:t>
            </w:r>
          </w:p>
        </w:tc>
      </w:tr>
      <w:tr>
        <w:tc>
          <w:tcPr>
            <w:tcW w:type="dxa" w:w="72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D6</w:t>
            </w:r>
          </w:p>
        </w:tc>
        <w:tc>
          <w:tcPr>
            <w:tcW w:type="dxa" w:w="302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Catalogo_Runtime_40_20_EVE_MMABP_v1_1_1_Operacional_Ajustado.xlsx</w:t>
            </w:r>
          </w:p>
        </w:tc>
        <w:tc>
          <w:tcPr>
            <w:tcW w:type="dxa" w:w="216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supporting_executable_compatibility</w:t>
            </w:r>
          </w:p>
        </w:tc>
        <w:tc>
          <w:tcPr>
            <w:tcW w:type="dxa" w:w="432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Comprueba que los 40+20 referencian códigos y nodos existentes; aporta política epistemológica operativa y enforcement de rutas.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VSM1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Organizational Systems Managing Complexity with the Viable System model.pdf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vsm_methodological_guard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Identidad, ingeniería de variedad, funciones sistémicas, recursión, desdoblamiento de complejidad, discreción e información.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1F8"/>
            <w:vAlign w:val="center"/>
          </w:tcPr>
          <w:p>
            <w:pPr>
              <w:spacing w:after="120" w:before="120"/>
              <w:jc w:val="center"/>
            </w:pPr>
            <w:r/>
            <w:r>
              <w:rPr>
                <w:rFonts w:ascii="Arial" w:hAnsi="Arial"/>
                <w:b/>
                <w:color w:val="16324F"/>
                <w:sz w:val="20"/>
              </w:rPr>
              <w:t>D8 manda sobre genealogía. D7 define la frontera de reducción. D5 gobierna. D6 comprueba compatibilidad ejecutable. VSM1 manda solo sobre conceptos VSM.</w:t>
            </w:r>
          </w:p>
        </w:tc>
      </w:tr>
    </w:tbl>
    <w:p>
      <w:pPr>
        <w:spacing w:after="20"/>
      </w:pPr>
    </w:p>
    <w:p>
      <w:pPr>
        <w:pStyle w:val="Heading1"/>
      </w:pPr>
      <w:r>
        <w:t>4. Arquitectura del chip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5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1800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3671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2808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Salida</w:t>
            </w:r>
          </w:p>
        </w:tc>
      </w:tr>
      <w:tr>
        <w:tc>
          <w:tcPr>
            <w:tcW w:type="dxa" w:w="2015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source_node_registry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Nodo canónico</w:t>
            </w:r>
          </w:p>
        </w:tc>
        <w:tc>
          <w:tcPr>
            <w:tcW w:type="dxa" w:w="3671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D8: nodos + joins epistemic/MMABP/VSM</w:t>
            </w:r>
          </w:p>
        </w:tc>
        <w:tc>
          <w:tcPr>
            <w:tcW w:type="dxa" w:w="28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Registro principal inmutable</w:t>
            </w:r>
          </w:p>
        </w:tc>
      </w:tr>
      <w:tr>
        <w:tc>
          <w:tcPr>
            <w:tcW w:type="dxa" w:w="2015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source_code_registry</w:t>
            </w:r>
          </w:p>
        </w:tc>
        <w:tc>
          <w:tcPr>
            <w:tcW w:type="dxa" w:w="180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Código original</w:t>
            </w:r>
          </w:p>
        </w:tc>
        <w:tc>
          <w:tcPr>
            <w:tcW w:type="dxa" w:w="3671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D8: código, bloque, nodo, documento</w:t>
            </w:r>
          </w:p>
        </w:tc>
        <w:tc>
          <w:tcPr>
            <w:tcW w:type="dxa" w:w="280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Índice exacto de lookup</w:t>
            </w:r>
          </w:p>
        </w:tc>
      </w:tr>
      <w:tr>
        <w:tc>
          <w:tcPr>
            <w:tcW w:type="dxa" w:w="2015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canonical_variables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Variable canónica</w:t>
            </w:r>
          </w:p>
        </w:tc>
        <w:tc>
          <w:tcPr>
            <w:tcW w:type="dxa" w:w="3671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D8: 246 filas fuente + refs de nodos</w:t>
            </w:r>
          </w:p>
        </w:tc>
        <w:tc>
          <w:tcPr>
            <w:tcW w:type="dxa" w:w="28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Definición, variante, linaje o pendiente</w:t>
            </w:r>
          </w:p>
        </w:tc>
      </w:tr>
      <w:tr>
        <w:tc>
          <w:tcPr>
            <w:tcW w:type="dxa" w:w="2015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node_variable_map</w:t>
            </w:r>
          </w:p>
        </w:tc>
        <w:tc>
          <w:tcPr>
            <w:tcW w:type="dxa" w:w="180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Nodo ↔ variable</w:t>
            </w:r>
          </w:p>
        </w:tc>
        <w:tc>
          <w:tcPr>
            <w:tcW w:type="dxa" w:w="3671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Expresiones de salida por nodo</w:t>
            </w:r>
          </w:p>
        </w:tc>
        <w:tc>
          <w:tcPr>
            <w:tcW w:type="dxa" w:w="280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Relación resoluble y auditable</w:t>
            </w:r>
          </w:p>
        </w:tc>
      </w:tr>
      <w:tr>
        <w:tc>
          <w:tcPr>
            <w:tcW w:type="dxa" w:w="2015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critical_routes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Ruta canónica</w:t>
            </w:r>
          </w:p>
        </w:tc>
        <w:tc>
          <w:tcPr>
            <w:tcW w:type="dxa" w:w="3671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D8 + check D6</w:t>
            </w:r>
          </w:p>
        </w:tc>
        <w:tc>
          <w:tcPr>
            <w:tcW w:type="dxa" w:w="28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Bloqueo y reentry</w:t>
            </w:r>
          </w:p>
        </w:tc>
      </w:tr>
      <w:tr>
        <w:tc>
          <w:tcPr>
            <w:tcW w:type="dxa" w:w="2015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epistemic_policy</w:t>
            </w:r>
          </w:p>
        </w:tc>
        <w:tc>
          <w:tcPr>
            <w:tcW w:type="dxa" w:w="180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Regla global o por nodo</w:t>
            </w:r>
          </w:p>
        </w:tc>
        <w:tc>
          <w:tcPr>
            <w:tcW w:type="dxa" w:w="3671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D8 + política D6 + fronteras D4/D5</w:t>
            </w:r>
          </w:p>
        </w:tc>
        <w:tc>
          <w:tcPr>
            <w:tcW w:type="dxa" w:w="280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Enforce, block o carry-forward</w:t>
            </w:r>
          </w:p>
        </w:tc>
      </w:tr>
      <w:tr>
        <w:tc>
          <w:tcPr>
            <w:tcW w:type="dxa" w:w="2015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vsm_prep_guard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Señal VSM preparatoria</w:t>
            </w:r>
          </w:p>
        </w:tc>
        <w:tc>
          <w:tcPr>
            <w:tcW w:type="dxa" w:w="3671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D8 VSM_AHE_Prep + VSM1</w:t>
            </w:r>
          </w:p>
        </w:tc>
        <w:tc>
          <w:tcPr>
            <w:tcW w:type="dxa" w:w="28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Candidate signal only</w:t>
            </w:r>
          </w:p>
        </w:tc>
      </w:tr>
    </w:tbl>
    <w:p>
      <w:pPr>
        <w:spacing w:after="20"/>
      </w:pPr>
    </w:p>
    <w:p>
      <w:pPr>
        <w:pStyle w:val="Heading1"/>
      </w:pPr>
      <w:r>
        <w:t>5. Contratos de módulo</w:t>
      </w:r>
    </w:p>
    <w:p>
      <w:pPr>
        <w:pStyle w:val="Heading2"/>
      </w:pPr>
      <w:r>
        <w:t>5.1 source_node_registry</w:t>
      </w:r>
    </w:p>
    <w:p>
      <w:r>
        <w:t>Registro maestro de 164 nodos. Cada fila conserva:</w:t>
      </w:r>
    </w:p>
    <w:p>
      <w:pPr>
        <w:pStyle w:val="ListBullet"/>
        <w:spacing w:after="40"/>
      </w:pPr>
      <w:r>
        <w:t>Identidad: source_node_ref_id, master_node_id, source_block, source_question_code_intact.</w:t>
      </w:r>
    </w:p>
    <w:p>
      <w:pPr>
        <w:pStyle w:val="ListBullet"/>
        <w:spacing w:after="40"/>
      </w:pPr>
      <w:r>
        <w:t>Origen: documento, versión, índice de tabla y fingerprint SHA-256.</w:t>
      </w:r>
    </w:p>
    <w:p>
      <w:pPr>
        <w:pStyle w:val="ListBullet"/>
        <w:spacing w:after="40"/>
      </w:pPr>
      <w:r>
        <w:t>Comportamiento: tipo de nodo, rol runtime, condición, visibilidad y obligatoriedad.</w:t>
      </w:r>
    </w:p>
    <w:p>
      <w:pPr>
        <w:pStyle w:val="ListBullet"/>
        <w:spacing w:after="40"/>
      </w:pPr>
      <w:r>
        <w:t>Estructura: variable de salida, ruta crítica, mapping MMABP y checkpoints.</w:t>
      </w:r>
    </w:p>
    <w:p>
      <w:pPr>
        <w:pStyle w:val="ListBullet"/>
        <w:spacing w:after="40"/>
      </w:pPr>
      <w:r>
        <w:t>Epistemología: provenance, confirmación, must_not_infer, auditoría y carry-forward.</w:t>
      </w:r>
    </w:p>
    <w:p>
      <w:pPr>
        <w:pStyle w:val="ListBullet"/>
        <w:spacing w:after="40"/>
      </w:pPr>
      <w:r>
        <w:t>Preparación VSM/AHE: candidatos y límites de uso, nunca diagnóstico cerrado.</w:t>
      </w:r>
    </w:p>
    <w:p>
      <w:pPr>
        <w:pStyle w:val="Heading2"/>
      </w:pPr>
      <w:r>
        <w:t>5.2 source_code_registry</w:t>
      </w:r>
    </w:p>
    <w:p>
      <w:r>
        <w:t>Índice 1:1 de 164 códigos originales. El código es una clave histórica, no un nombre editable. Una modificación crea una nueva versión y conserva la relación de supersesión.</w:t>
      </w:r>
    </w:p>
    <w:p>
      <w:pPr>
        <w:pStyle w:val="Heading2"/>
      </w:pPr>
      <w:r>
        <w:t>5.3 canonical_variables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600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 registry</w:t>
            </w:r>
          </w:p>
        </w:tc>
        <w:tc>
          <w:tcPr>
            <w:tcW w:type="dxa" w:w="1152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5328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36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source_defined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Existe en Variables_Canonicas_Source.</w:t>
            </w:r>
          </w:p>
        </w:tc>
      </w:tr>
      <w:tr>
        <w:tc>
          <w:tcPr>
            <w:tcW w:type="dxa" w:w="360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referenced_not_defined_in_variables_source</w:t>
            </w:r>
          </w:p>
        </w:tc>
        <w:tc>
          <w:tcPr>
            <w:tcW w:type="dxa" w:w="115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32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Aparece en salida de nodo, pero no tiene definición fuente. Se bloquea invención.</w:t>
            </w:r>
          </w:p>
        </w:tc>
      </w:tr>
      <w:tr>
        <w:tc>
          <w:tcPr>
            <w:tcW w:type="dxa" w:w="36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pattern_reference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Referencia wildcard activity_semantic_*; requiere resolución de patrón.</w:t>
            </w:r>
          </w:p>
        </w:tc>
      </w:tr>
    </w:tbl>
    <w:p>
      <w:pPr>
        <w:spacing w:after="20"/>
      </w:pPr>
    </w:p>
    <w:p>
      <w:r>
        <w:t>Además, node_variable_map conserva 213 relaciones explícitas. Las 58 variables fuente no nombradas directamente en expresiones de salida no se eliminan: pueden actuar como derivaciones, preload o componentes de bundle.</w:t>
      </w:r>
    </w:p>
    <w:p>
      <w:pPr>
        <w:pStyle w:val="Heading2"/>
      </w:pPr>
      <w:r>
        <w:t>5.4 critical_routes</w:t>
      </w:r>
    </w:p>
    <w:p>
      <w:r>
        <w:t>Una ruta crítica solo se considera cerrada por evidencia canónica, con provenance y política de confirmación. Si falla, el resultado es flag, bloqueo, revisión manual o reentry; nunca maquillaje de readiness.</w:t>
      </w:r>
    </w:p>
    <w:p>
      <w:pPr>
        <w:pStyle w:val="Heading2"/>
      </w:pPr>
      <w:r>
        <w:t>5.5 epistemic_policy</w:t>
      </w:r>
    </w:p>
    <w:p>
      <w:r>
        <w:t>El módulo contiene 10 reglas globales y 164 políticas por nodo. La política global no reemplaza la política local; la restringe. Ante conflicto, prevalece la regla que preserve más evidencia, trazabilidad y frontera.</w:t>
      </w:r>
    </w:p>
    <w:p>
      <w:pPr>
        <w:pStyle w:val="Heading1"/>
      </w:pPr>
      <w:r>
        <w:t>6. Inventario canónico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 w:val="true"/>
        </w:trPr>
        <w:tc>
          <w:tcPr>
            <w:tcW w:type="dxa" w:w="864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864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936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Base</w:t>
            </w:r>
          </w:p>
        </w:tc>
        <w:tc>
          <w:tcPr>
            <w:tcW w:type="dxa" w:w="1007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Cond.</w:t>
            </w:r>
          </w:p>
        </w:tc>
        <w:tc>
          <w:tcPr>
            <w:tcW w:type="dxa" w:w="1007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Aclar.</w:t>
            </w:r>
          </w:p>
        </w:tc>
        <w:tc>
          <w:tcPr>
            <w:tcW w:type="dxa" w:w="936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Causal</w:t>
            </w:r>
          </w:p>
        </w:tc>
        <w:tc>
          <w:tcPr>
            <w:tcW w:type="dxa" w:w="1007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Interna</w:t>
            </w:r>
          </w:p>
        </w:tc>
        <w:tc>
          <w:tcPr>
            <w:tcW w:type="dxa" w:w="1080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Confirm.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</w:tr>
      <w:tr>
        <w:tc>
          <w:tcPr>
            <w:tcW w:type="dxa" w:w="8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0.5</w:t>
            </w:r>
          </w:p>
        </w:tc>
        <w:tc>
          <w:tcPr>
            <w:tcW w:type="dxa" w:w="8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8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8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8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8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8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8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007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8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7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</w:tbl>
    <w:p>
      <w:pPr>
        <w:spacing w:after="20"/>
      </w:pPr>
    </w:p>
    <w:p>
      <w:r>
        <w:t>La distribución es descriptiva del Catálogo Madre. No representa la carga visible. La reducción a 40 base + hasta 20 causales pertenece a la arquitectura Runtime, no a este registro.</w:t>
      </w:r>
    </w:p>
    <w:p>
      <w:pPr>
        <w:pStyle w:val="Heading1"/>
      </w:pPr>
      <w:r>
        <w:t>7. Rutas críticas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232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1800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Secuencia</w:t>
            </w:r>
          </w:p>
        </w:tc>
        <w:tc>
          <w:tcPr>
            <w:tcW w:type="dxa" w:w="3168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3168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 falla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CR-B0-WorkMapIntake-semantic-entry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 → 0.1 → 0.1a/0.D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Entrada robusta desde WorkMapIntake. Si la actividad llega parcial o fallida, Bloque 0 reconstruye sin inventar estructura.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consolidar actividad como evidencia dura; conservar weak_context o activar reconstrucción guiada.</w:t>
            </w:r>
          </w:p>
        </w:tc>
      </w:tr>
      <w:tr>
        <w:tc>
          <w:tcPr>
            <w:tcW w:type="dxa" w:w="223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CR-B2-V3-transformation_exception</w:t>
            </w:r>
          </w:p>
        </w:tc>
        <w:tc>
          <w:tcPr>
            <w:tcW w:type="dxa" w:w="180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2.9 / transformation_exception_type → transformation_exception_exists → transformation_exception_description</w:t>
            </w:r>
          </w:p>
        </w:tc>
        <w:tc>
          <w:tcPr>
            <w:tcW w:type="dxa" w:w="316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 excepción de transformación se captura/deriva solo por ruta canónica; no desde texto libre sin trazabilidad.</w:t>
            </w:r>
          </w:p>
        </w:tc>
        <w:tc>
          <w:tcPr>
            <w:tcW w:type="dxa" w:w="316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CanonicalRouteException / ready_with_flags; no generar candidato PF/OLC si falta ruta.</w:t>
            </w:r>
          </w:p>
        </w:tc>
      </w:tr>
      <w:tr>
        <w:tc>
          <w:tcPr>
            <w:tcW w:type="dxa" w:w="223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CR-B3-R9-receiver_feedback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3.10 → 3.13 → 3.13a → receiver_feedback_exists → receiver_feedback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receiver_satisfaction no equivale a receiver_feedback. El feedback operativo exige señal de aviso, rechazo, devolución, corrección, recontacto o bloqueo.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receiver_feedback_route_missing / CanonicalRouteException / no crear rework desde satisfacción subjetiva.</w:t>
            </w:r>
          </w:p>
        </w:tc>
      </w:tr>
      <w:tr>
        <w:tc>
          <w:tcPr>
            <w:tcW w:type="dxa" w:w="223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CR-B7-AHE-boundary_guard</w:t>
            </w:r>
          </w:p>
        </w:tc>
        <w:tc>
          <w:tcPr>
            <w:tcW w:type="dxa" w:w="180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7.0 → 7.0a → 7.3 → 7.3a → 7.4</w:t>
            </w:r>
          </w:p>
        </w:tc>
        <w:tc>
          <w:tcPr>
            <w:tcW w:type="dxa" w:w="316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B7 transporta señal preclasificatoria no diagnóstica; no produce inventario, IR, export, VSM/AHE cerrado ni diagnóstico.</w:t>
            </w:r>
          </w:p>
        </w:tc>
        <w:tc>
          <w:tcPr>
            <w:tcW w:type="dxa" w:w="316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ManualReviewRequest / EvidenceInsufficiency / TransductionBlocker según caso.</w:t>
            </w:r>
          </w:p>
        </w:tc>
      </w:tr>
    </w:tbl>
    <w:p>
      <w:pPr>
        <w:spacing w:after="20"/>
      </w:pPr>
    </w:p>
    <w:p>
      <w:r>
        <w:t>Las cuatro rutas suman 18 miembros, todos resueltos contra nodos canónicos. La ruta B0 conserva dos definiciones de variable pendientes: activity_semantic_completion y activity_semantic_structure_corrected.</w:t>
      </w:r>
    </w:p>
    <w:p>
      <w:pPr>
        <w:pStyle w:val="Heading1"/>
      </w:pPr>
      <w:r>
        <w:t>8. Política epistemológica global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5184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Aplicación</w:t>
            </w:r>
          </w:p>
        </w:tc>
        <w:tc>
          <w:tcPr>
            <w:tcW w:type="dxa" w:w="1728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Efecto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EP-GLOBAL-001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inferencia dura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Una inferencia IA no entra como captured_user_evidence sin confirmación/corrección del usuario.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enforce_or_block</w:t>
            </w:r>
          </w:p>
        </w:tc>
      </w:tr>
      <w:tr>
        <w:tc>
          <w:tcPr>
            <w:tcW w:type="dxa" w:w="115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EP-GLOBAL-002</w:t>
            </w:r>
          </w:p>
        </w:tc>
        <w:tc>
          <w:tcPr>
            <w:tcW w:type="dxa" w:w="194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Confirmación de preload</w:t>
            </w:r>
          </w:p>
        </w:tc>
        <w:tc>
          <w:tcPr>
            <w:tcW w:type="dxa" w:w="518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WorkMapIntake puede prellenar, pero debe ser editable y confirmable.</w:t>
            </w:r>
          </w:p>
        </w:tc>
        <w:tc>
          <w:tcPr>
            <w:tcW w:type="dxa" w:w="172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enforce_or_block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EP-GLOBAL-003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Ruta canónica primero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Variables críticas solo cierran desde rutas canónicas.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enforce_or_block</w:t>
            </w:r>
          </w:p>
        </w:tc>
      </w:tr>
      <w:tr>
        <w:tc>
          <w:tcPr>
            <w:tcW w:type="dxa" w:w="115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EP-GLOBAL-004</w:t>
            </w:r>
          </w:p>
        </w:tc>
        <w:tc>
          <w:tcPr>
            <w:tcW w:type="dxa" w:w="194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B7 no diagnostica</w:t>
            </w:r>
          </w:p>
        </w:tc>
        <w:tc>
          <w:tcPr>
            <w:tcW w:type="dxa" w:w="518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B7 solo transporta señal preclasificatoria y confidence.</w:t>
            </w:r>
          </w:p>
        </w:tc>
        <w:tc>
          <w:tcPr>
            <w:tcW w:type="dxa" w:w="172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enforce_or_block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EP-GLOBAL-005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Gaps visibles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 falta evidencia, se marca gap/reentry/manual_review; no se maquilla para avanzar.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enforce_or_block</w:t>
            </w:r>
          </w:p>
        </w:tc>
      </w:tr>
      <w:tr>
        <w:tc>
          <w:tcPr>
            <w:tcW w:type="dxa" w:w="115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EP-GLOBAL-006</w:t>
            </w:r>
          </w:p>
        </w:tc>
        <w:tc>
          <w:tcPr>
            <w:tcW w:type="dxa" w:w="194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Audit log</w:t>
            </w:r>
          </w:p>
        </w:tc>
        <w:tc>
          <w:tcPr>
            <w:tcW w:type="dxa" w:w="518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Cualquier cierre por derivación, corrección, ruta crítica o reentry queda auditado.</w:t>
            </w:r>
          </w:p>
        </w:tc>
        <w:tc>
          <w:tcPr>
            <w:tcW w:type="dxa" w:w="172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enforce_or_block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EP-GLOBAL-007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Texto libre no cierra hecho estructural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Texto libre o inferencia IA requiere estado epistemológico, trazabilidad y ruta/gate aplicable antes de cerrar una variable estructural.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enforce_or_block</w:t>
            </w:r>
          </w:p>
        </w:tc>
      </w:tr>
      <w:tr>
        <w:tc>
          <w:tcPr>
            <w:tcW w:type="dxa" w:w="115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EP-GLOBAL-008</w:t>
            </w:r>
          </w:p>
        </w:tc>
        <w:tc>
          <w:tcPr>
            <w:tcW w:type="dxa" w:w="194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MMABP antes de diagnóstico</w:t>
            </w:r>
          </w:p>
        </w:tc>
        <w:tc>
          <w:tcPr>
            <w:tcW w:type="dxa" w:w="518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Toda salida estructural pasa por candidato, conformance, consistencia y readiness antes de cualquier interpretación diagnóstica o Producción Paralela.</w:t>
            </w:r>
          </w:p>
        </w:tc>
        <w:tc>
          <w:tcPr>
            <w:tcW w:type="dxa" w:w="172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enforce_or_block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EP-GLOBAL-009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VSM como preparación no diagnóstica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Las asignaciones S1-S5, S3* o canal algedónico conservadas en Capa 1 son señales candidatas; no constituyen diagnóstico VSM ni fijan recursión.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enforce_or_block</w:t>
            </w:r>
          </w:p>
        </w:tc>
      </w:tr>
      <w:tr>
        <w:tc>
          <w:tcPr>
            <w:tcW w:type="dxa" w:w="115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EP-GLOBAL-010</w:t>
            </w:r>
          </w:p>
        </w:tc>
        <w:tc>
          <w:tcPr>
            <w:tcW w:type="dxa" w:w="194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Genealogía inmutable</w:t>
            </w:r>
          </w:p>
        </w:tc>
        <w:tc>
          <w:tcPr>
            <w:tcW w:type="dxa" w:w="518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capture_node_id, master_node_id, source_block, source_question_code_intact y source_document se preservan; cualquier cambio crea nueva versión, no sobreescritura.</w:t>
            </w:r>
          </w:p>
        </w:tc>
        <w:tc>
          <w:tcPr>
            <w:tcW w:type="dxa" w:w="172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enforce_or_block</w:t>
            </w:r>
          </w:p>
        </w:tc>
      </w:tr>
    </w:tbl>
    <w:p>
      <w:pPr>
        <w:spacing w:after="20"/>
      </w:pPr>
    </w:p>
    <w:p>
      <w:r>
        <w:t>Regla clínica: la ausencia de evidencia se conserva como gap. Una inferencia IA no cambia de estado epistemológico por repetición, confianza interna o conveniencia operativa.</w:t>
      </w:r>
    </w:p>
    <w:p>
      <w:pPr>
        <w:pStyle w:val="Heading1"/>
      </w:pPr>
      <w:r>
        <w:t>9. Guardia VSM desde Fase 3</w:t>
      </w:r>
    </w:p>
    <w:p>
      <w:r>
        <w:t>La Fase 3 amplía el catálogo para conservar insumos VSM, pero mantiene separación estricta con MMABP. MMABP describe arquitectura de negocio; VSM observa identidad, viabilidad, complejidad, variedad, recursión, discreción y canales de información.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88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Guardia</w:t>
            </w:r>
          </w:p>
        </w:tc>
        <w:tc>
          <w:tcPr>
            <w:tcW w:type="dxa" w:w="5256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1800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Prohibición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VSM-PREP-001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Señal preparatoria, no diagnóstico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Los candidatos S1-S5, S3* y canal algedónico del Catálogo Madre se conservan como preparación. No fijan una estructura viable, una recursión ni un arquetipo.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emit_closed_vsm_diagnosis</w:t>
            </w:r>
          </w:p>
        </w:tc>
      </w:tr>
      <w:tr>
        <w:tc>
          <w:tcPr>
            <w:tcW w:type="dxa" w:w="115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VSM-PREP-002</w:t>
            </w:r>
          </w:p>
        </w:tc>
        <w:tc>
          <w:tcPr>
            <w:tcW w:type="dxa" w:w="208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Identidad antes de asignación sistémica</w:t>
            </w:r>
          </w:p>
        </w:tc>
        <w:tc>
          <w:tcPr>
            <w:tcW w:type="dxa" w:w="525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Antes de interpretar funciones VSM deben estar delimitados el sistema en foco, la transformación y los actores relevantes.</w:t>
            </w:r>
          </w:p>
        </w:tc>
        <w:tc>
          <w:tcPr>
            <w:tcW w:type="dxa" w:w="180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assign_system_function_without_identity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VSM-PREP-003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Desdoblamiento como hipótesis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Las relaciones entre actividades primarias, secundarias y reguladoras se tratan como hipótesis de desdoblamiento de complejidad hasta validación con actores y evidencia.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freeze_recursion_from_single_answer</w:t>
            </w:r>
          </w:p>
        </w:tc>
      </w:tr>
      <w:tr>
        <w:tc>
          <w:tcPr>
            <w:tcW w:type="dxa" w:w="115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VSM-PREP-004</w:t>
            </w:r>
          </w:p>
        </w:tc>
        <w:tc>
          <w:tcPr>
            <w:tcW w:type="dxa" w:w="208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Funciones sistémicas no equivalen a cuadrantes MMABP</w:t>
            </w:r>
          </w:p>
        </w:tc>
        <w:tc>
          <w:tcPr>
            <w:tcW w:type="dxa" w:w="525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Implementación, coordinación, cohesión, inteligencia y política son funciones VSM; PM, MoC, PF y OLC son vistas MMABP. No deben fusionarse ni sustituirse.</w:t>
            </w:r>
          </w:p>
        </w:tc>
        <w:tc>
          <w:tcPr>
            <w:tcW w:type="dxa" w:w="180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translate_one_to_one_without_evidence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VSM-PREP-005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Variedad sustentada en evidencia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Una señal de desbalance de variedad requiere evidencia de demanda, capacidad de respuesta, perturbación, coordinación o regulación; no basta una etiqueta intuitiva.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infer_variety_gap_from_label_only</w:t>
            </w:r>
          </w:p>
        </w:tc>
      </w:tr>
      <w:tr>
        <w:tc>
          <w:tcPr>
            <w:tcW w:type="dxa" w:w="115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VSM-PREP-006</w:t>
            </w:r>
          </w:p>
        </w:tc>
        <w:tc>
          <w:tcPr>
            <w:tcW w:type="dxa" w:w="208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Discreción exige información y canales</w:t>
            </w:r>
          </w:p>
        </w:tc>
        <w:tc>
          <w:tcPr>
            <w:tcW w:type="dxa" w:w="525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 discrecionalidad reguladora debe trazarse junto con información apropiada y canales de comunicación; la ausencia se registra como gap, no como función viable.</w:t>
            </w:r>
          </w:p>
        </w:tc>
        <w:tc>
          <w:tcPr>
            <w:tcW w:type="dxa" w:w="180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close_regulatory_function_without_information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VSM-PREP-007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Recursión explícita</w:t>
            </w:r>
          </w:p>
        </w:tc>
        <w:tc>
          <w:tcPr>
            <w:tcW w:type="dxa" w:w="525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Toda asignación VSM posterior debe declarar nivel de recursión y sistema en foco. La Capa 1 solo conserva señales de posible función.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reuse_s1_s5_across_recursions_implicitly</w:t>
            </w:r>
          </w:p>
        </w:tc>
      </w:tr>
      <w:tr>
        <w:tc>
          <w:tcPr>
            <w:tcW w:type="dxa" w:w="115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VSM-PREP-008</w:t>
            </w:r>
          </w:p>
        </w:tc>
        <w:tc>
          <w:tcPr>
            <w:tcW w:type="dxa" w:w="208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Canal algedónico como excepción crítica</w:t>
            </w:r>
          </w:p>
        </w:tc>
        <w:tc>
          <w:tcPr>
            <w:tcW w:type="dxa" w:w="525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 mención de canal algedónico se conserva como candidato de señal crítica y no como evidencia automática de que el canal exista o funcione.</w:t>
            </w:r>
          </w:p>
        </w:tc>
        <w:tc>
          <w:tcPr>
            <w:tcW w:type="dxa" w:w="180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declare_algedonic_channel_operational</w:t>
            </w:r>
          </w:p>
        </w:tc>
      </w:tr>
    </w:tbl>
    <w:p>
      <w:pPr>
        <w:spacing w:after="20"/>
      </w:pPr>
    </w:p>
    <w:p>
      <w:r>
        <w:t>Los códigos S1, S2, S3, S3*, S4, S5 y canal algedónico se almacenan como candidate_signal. La identidad organizacional, la actividad primaria y el desdoblamiento de complejidad deben tratarse como hipótesis contrastables antes de fijar recursión.</w:t>
      </w:r>
    </w:p>
    <w:p>
      <w:pPr>
        <w:pStyle w:val="Heading1"/>
      </w:pPr>
      <w:r>
        <w:t>10. QA, flags y decisión de avance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944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6768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Genealogía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676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164 nodos y 164 códigos únicos; joins 1:1 completos.</w:t>
            </w:r>
          </w:p>
        </w:tc>
      </w:tr>
      <w:tr>
        <w:tc>
          <w:tcPr>
            <w:tcW w:type="dxa" w:w="187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Rutas</w:t>
            </w:r>
          </w:p>
        </w:tc>
        <w:tc>
          <w:tcPr>
            <w:tcW w:type="dxa" w:w="194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676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 rutas, 18 miembros, todos resueltos; D8 y D6 alineados.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Runtime 40+20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676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60 interacciones D6 sin referencia a nodo/código inexistente.</w:t>
            </w:r>
          </w:p>
        </w:tc>
      </w:tr>
      <w:tr>
        <w:tc>
          <w:tcPr>
            <w:tcW w:type="dxa" w:w="187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Variables fuente</w:t>
            </w:r>
          </w:p>
        </w:tc>
        <w:tc>
          <w:tcPr>
            <w:tcW w:type="dxa" w:w="194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PASS_WITH_FLAGS</w:t>
            </w:r>
          </w:p>
        </w:tc>
        <w:tc>
          <w:tcPr>
            <w:tcW w:type="dxa" w:w="676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246 filas preservadas; 223 nombres únicos; 23 duplicados.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Variables referenciadas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FLAG</w:t>
            </w:r>
          </w:p>
        </w:tc>
        <w:tc>
          <w:tcPr>
            <w:tcW w:type="dxa" w:w="676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33 sin definición fuente y 1 patrón wildcard.</w:t>
            </w:r>
          </w:p>
        </w:tc>
      </w:tr>
      <w:tr>
        <w:tc>
          <w:tcPr>
            <w:tcW w:type="dxa" w:w="187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VSM</w:t>
            </w:r>
          </w:p>
        </w:tc>
        <w:tc>
          <w:tcPr>
            <w:tcW w:type="dxa" w:w="194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676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164 mappings preservados; diagnóstico, recursión y arquetipos deshabilitados.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120" w:before="120"/>
              <w:jc w:val="center"/>
            </w:pPr>
            <w:r/>
            <w:r>
              <w:rPr>
                <w:rFonts w:ascii="Arial" w:hAnsi="Arial"/>
                <w:b/>
                <w:color w:val="7F6000"/>
                <w:sz w:val="20"/>
              </w:rPr>
              <w:t>No avanzar a certificación mientras haya definiciones pendientes no resueltas. Sí puede avanzar a Fase 4 usando estos gaps como restricciones explícitas.</w:t>
            </w:r>
          </w:p>
        </w:tc>
      </w:tr>
    </w:tbl>
    <w:p>
      <w:pPr>
        <w:spacing w:after="20"/>
      </w:pPr>
    </w:p>
    <w:p>
      <w:pPr>
        <w:pStyle w:val="Heading2"/>
      </w:pPr>
      <w:r>
        <w:t>10.1 Preguntas de realidad pendientes</w:t>
      </w:r>
    </w:p>
    <w:p>
      <w:pPr>
        <w:pStyle w:val="ListBullet"/>
        <w:spacing w:after="40"/>
      </w:pPr>
      <w:r>
        <w:t>¿Las 33 referencias sin definición corresponden a variables legítimas omitidas, alias o salidas derivadas?</w:t>
      </w:r>
    </w:p>
    <w:p>
      <w:pPr>
        <w:pStyle w:val="ListBullet"/>
        <w:spacing w:after="40"/>
      </w:pPr>
      <w:r>
        <w:t>¿Cuál definición debe prevalecer en los 5 grupos con variantes?</w:t>
      </w:r>
    </w:p>
    <w:p>
      <w:pPr>
        <w:pStyle w:val="ListBullet"/>
        <w:spacing w:after="40"/>
      </w:pPr>
      <w:r>
        <w:t>¿Las 58 variables fuente no referenciadas pertenecen a bundles, preloads o derivaciones internas?</w:t>
      </w:r>
    </w:p>
    <w:p>
      <w:pPr>
        <w:pStyle w:val="ListBullet"/>
        <w:spacing w:after="40"/>
      </w:pPr>
      <w:r>
        <w:t>¿El patrón activity_semantic_* se materializará como familia de variables o como objeto estructurado?</w:t>
      </w:r>
    </w:p>
    <w:p>
      <w:pPr>
        <w:pStyle w:val="Heading1"/>
      </w:pPr>
      <w:r>
        <w:t>11. Contrato de consumo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Consumidor</w:t>
            </w:r>
          </w:p>
        </w:tc>
        <w:tc>
          <w:tcPr>
            <w:tcW w:type="dxa" w:w="3960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Puede</w:t>
            </w:r>
          </w:p>
        </w:tc>
        <w:tc>
          <w:tcPr>
            <w:tcW w:type="dxa" w:w="4031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 puede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Fase 4 Runtime Architecture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Agrupar nodos en interacciones y preservar mappings.</w:t>
            </w:r>
          </w:p>
        </w:tc>
        <w:tc>
          <w:tcPr>
            <w:tcW w:type="dxa" w:w="4031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Eliminar nodos o reescribir códigos.</w:t>
            </w:r>
          </w:p>
        </w:tc>
      </w:tr>
      <w:tr>
        <w:tc>
          <w:tcPr>
            <w:tcW w:type="dxa" w:w="208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Gate Engine</w:t>
            </w:r>
          </w:p>
        </w:tc>
        <w:tc>
          <w:tcPr>
            <w:tcW w:type="dxa" w:w="396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Evaluar ruta, evidencia, confirmación y reentry.</w:t>
            </w:r>
          </w:p>
        </w:tc>
        <w:tc>
          <w:tcPr>
            <w:tcW w:type="dxa" w:w="4031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Cerrar gaps por inferencia libre.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Execution Engine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Persistir registros versionados y provenance.</w:t>
            </w:r>
          </w:p>
        </w:tc>
        <w:tc>
          <w:tcPr>
            <w:tcW w:type="dxa" w:w="4031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Sobreescribir genealogía.</w:t>
            </w:r>
          </w:p>
        </w:tc>
      </w:tr>
      <w:tr>
        <w:tc>
          <w:tcPr>
            <w:tcW w:type="dxa" w:w="208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Producción Paralela</w:t>
            </w:r>
          </w:p>
        </w:tc>
        <w:tc>
          <w:tcPr>
            <w:tcW w:type="dxa" w:w="396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Consumir candidatos gobernados.</w:t>
            </w:r>
          </w:p>
        </w:tc>
        <w:tc>
          <w:tcPr>
            <w:tcW w:type="dxa" w:w="4031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Leer texto crudo como hecho estructural.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Motor VSM posterior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Usar señales como hipótesis iniciales.</w:t>
            </w:r>
          </w:p>
        </w:tc>
        <w:tc>
          <w:tcPr>
            <w:tcW w:type="dxa" w:w="4031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Emitir diagnóstico desde etiquetas del catálogo.</w:t>
            </w:r>
          </w:p>
        </w:tc>
      </w:tr>
    </w:tbl>
    <w:p>
      <w:pPr>
        <w:spacing w:after="20"/>
      </w:pPr>
    </w:p>
    <w:p>
      <w:pPr>
        <w:pStyle w:val="Heading1"/>
      </w:pPr>
      <w:r>
        <w:t>12. Secuencia de implantación</w:t>
      </w:r>
    </w:p>
    <w:p>
      <w:pPr>
        <w:ind w:left="216" w:hanging="216"/>
      </w:pPr>
      <w:r>
        <w:rPr>
          <w:b/>
        </w:rPr>
        <w:t xml:space="preserve">1. </w:t>
      </w:r>
      <w:r>
        <w:t>Cargar source_documents y verificar checksums.</w:t>
      </w:r>
    </w:p>
    <w:p>
      <w:pPr>
        <w:ind w:left="216" w:hanging="216"/>
      </w:pPr>
      <w:r>
        <w:rPr>
          <w:b/>
        </w:rPr>
        <w:t xml:space="preserve">2. </w:t>
      </w:r>
      <w:r>
        <w:t>Cargar source_node_registry y source_code_registry como tablas versionadas.</w:t>
      </w:r>
    </w:p>
    <w:p>
      <w:pPr>
        <w:ind w:left="216" w:hanging="216"/>
      </w:pPr>
      <w:r>
        <w:rPr>
          <w:b/>
        </w:rPr>
        <w:t xml:space="preserve">3. </w:t>
      </w:r>
      <w:r>
        <w:t>Cargar canonical_variables y node_variable_map; mantener statuses pendientes.</w:t>
      </w:r>
    </w:p>
    <w:p>
      <w:pPr>
        <w:ind w:left="216" w:hanging="216"/>
      </w:pPr>
      <w:r>
        <w:rPr>
          <w:b/>
        </w:rPr>
        <w:t xml:space="preserve">4. </w:t>
      </w:r>
      <w:r>
        <w:t>Cargar critical_routes y activar blocking/reentry.</w:t>
      </w:r>
    </w:p>
    <w:p>
      <w:pPr>
        <w:ind w:left="216" w:hanging="216"/>
      </w:pPr>
      <w:r>
        <w:rPr>
          <w:b/>
        </w:rPr>
        <w:t xml:space="preserve">5. </w:t>
      </w:r>
      <w:r>
        <w:t>Cargar epistemic_policy global y por nodo.</w:t>
      </w:r>
    </w:p>
    <w:p>
      <w:pPr>
        <w:ind w:left="216" w:hanging="216"/>
      </w:pPr>
      <w:r>
        <w:rPr>
          <w:b/>
        </w:rPr>
        <w:t xml:space="preserve">6. </w:t>
      </w:r>
      <w:r>
        <w:t>Cargar vsm_prep_guard con diagnóstico VSM deshabilitado.</w:t>
      </w:r>
    </w:p>
    <w:p>
      <w:pPr>
        <w:ind w:left="216" w:hanging="216"/>
      </w:pPr>
      <w:r>
        <w:rPr>
          <w:b/>
        </w:rPr>
        <w:t xml:space="preserve">7. </w:t>
      </w:r>
      <w:r>
        <w:t>Ejecutar QA del manifest y comparar conteos.</w:t>
      </w:r>
    </w:p>
    <w:p>
      <w:pPr>
        <w:ind w:left="216" w:hanging="216"/>
      </w:pPr>
      <w:r>
        <w:rPr>
          <w:b/>
        </w:rPr>
        <w:t xml:space="preserve">8. </w:t>
      </w:r>
      <w:r>
        <w:t>Solo después, permitir que Fase 4 construya la reducción operativa 40+20.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Appendix A. Source-to-target mapping</w:t>
      </w:r>
    </w:p>
    <w:p>
      <w:r>
        <w:t>Esta matriz muestra qué unidad de fuente alimenta cada módulo. La cobertura es estructural; no equivale a certificación de contenido pendiente.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2880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2664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Destino</w:t>
            </w:r>
          </w:p>
        </w:tc>
        <w:tc>
          <w:tcPr>
            <w:tcW w:type="dxa" w:w="2232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Modo</w:t>
            </w:r>
          </w:p>
        </w:tc>
        <w:tc>
          <w:tcPr>
            <w:tcW w:type="dxa" w:w="1872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Cobertura</w:t>
            </w:r>
          </w:p>
        </w:tc>
        <w:tc>
          <w:tcPr>
            <w:tcW w:type="dxa" w:w="4608"/>
            <w:shd w:fill="1F6F7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Nota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D8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Catalogo_Madre_Nodos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source_node_registry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transduced_structured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164/164 rows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preservan IDs, códigos, origen, rol, ruta, MMABP y riesgo; se agregan índices derivados.</w:t>
            </w:r>
          </w:p>
        </w:tc>
      </w:tr>
      <w:tr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D8</w:t>
            </w:r>
          </w:p>
        </w:tc>
        <w:tc>
          <w:tcPr>
            <w:tcW w:type="dxa" w:w="28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Source_Question_Registry</w:t>
            </w:r>
          </w:p>
        </w:tc>
        <w:tc>
          <w:tcPr>
            <w:tcW w:type="dxa" w:w="26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source_node_registry + source_code_registry</w:t>
            </w:r>
          </w:p>
        </w:tc>
        <w:tc>
          <w:tcPr>
            <w:tcW w:type="dxa" w:w="223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transduced_exact</w:t>
            </w:r>
          </w:p>
        </w:tc>
        <w:tc>
          <w:tcPr>
            <w:tcW w:type="dxa" w:w="187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164/164 rows</w:t>
            </w:r>
          </w:p>
        </w:tc>
        <w:tc>
          <w:tcPr>
            <w:tcW w:type="dxa" w:w="460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Texto original, condición, tabla fuente y código intacto.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D8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Epistemic_Governance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epistemic_policy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transduced_structured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164/164 rows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Raw preservado; estados normalizados se marcan como derivados.</w:t>
            </w:r>
          </w:p>
        </w:tc>
      </w:tr>
      <w:tr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D8</w:t>
            </w:r>
          </w:p>
        </w:tc>
        <w:tc>
          <w:tcPr>
            <w:tcW w:type="dxa" w:w="28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Canonical_Variables</w:t>
            </w:r>
          </w:p>
        </w:tc>
        <w:tc>
          <w:tcPr>
            <w:tcW w:type="dxa" w:w="26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source_node_registry + node_variable_map</w:t>
            </w:r>
          </w:p>
        </w:tc>
        <w:tc>
          <w:tcPr>
            <w:tcW w:type="dxa" w:w="223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transduced_structured</w:t>
            </w:r>
          </w:p>
        </w:tc>
        <w:tc>
          <w:tcPr>
            <w:tcW w:type="dxa" w:w="187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164/164 rows</w:t>
            </w:r>
          </w:p>
        </w:tc>
        <w:tc>
          <w:tcPr>
            <w:tcW w:type="dxa" w:w="460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Expresión original preservada y segmentada conservadoramente.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D8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Variables_Canonicas_Source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canonical_variables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transduced_structured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246/246 rows; 223 nombres únicos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Duplicados preservados como conteos/variantes; no se eliminan silenciosamente.</w:t>
            </w:r>
          </w:p>
        </w:tc>
      </w:tr>
      <w:tr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D8</w:t>
            </w:r>
          </w:p>
        </w:tc>
        <w:tc>
          <w:tcPr>
            <w:tcW w:type="dxa" w:w="28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Critical_Routes</w:t>
            </w:r>
          </w:p>
        </w:tc>
        <w:tc>
          <w:tcPr>
            <w:tcW w:type="dxa" w:w="26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critical_routes</w:t>
            </w:r>
          </w:p>
        </w:tc>
        <w:tc>
          <w:tcPr>
            <w:tcW w:type="dxa" w:w="223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transduced_exact</w:t>
            </w:r>
          </w:p>
        </w:tc>
        <w:tc>
          <w:tcPr>
            <w:tcW w:type="dxa" w:w="187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4/4 routes</w:t>
            </w:r>
          </w:p>
        </w:tc>
        <w:tc>
          <w:tcPr>
            <w:tcW w:type="dxa" w:w="460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Regla, bloqueo y downstream conservados; miembros resueltos a nodos.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D8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MMABP_Mapping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source_node_registry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transduced_structured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164/164 rows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Mappings MMABP preservados; no reinterpretados por VSM.</w:t>
            </w:r>
          </w:p>
        </w:tc>
      </w:tr>
      <w:tr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D8</w:t>
            </w:r>
          </w:p>
        </w:tc>
        <w:tc>
          <w:tcPr>
            <w:tcW w:type="dxa" w:w="28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VSM_AHE_Prep</w:t>
            </w:r>
          </w:p>
        </w:tc>
        <w:tc>
          <w:tcPr>
            <w:tcW w:type="dxa" w:w="26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source_node_registry + vsm_prep_guard</w:t>
            </w:r>
          </w:p>
        </w:tc>
        <w:tc>
          <w:tcPr>
            <w:tcW w:type="dxa" w:w="223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transduced_with_normalized_names</w:t>
            </w:r>
          </w:p>
        </w:tc>
        <w:tc>
          <w:tcPr>
            <w:tcW w:type="dxa" w:w="187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164/164 rows</w:t>
            </w:r>
          </w:p>
        </w:tc>
        <w:tc>
          <w:tcPr>
            <w:tcW w:type="dxa" w:w="460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Raw preservado; S1-S5/S3*/algedonic normalizados solo para indexación.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D8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Corpus_Documental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source_documents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transduced_structured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11 source records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Fuentes finales e históricas preservadas.</w:t>
            </w:r>
          </w:p>
        </w:tc>
      </w:tr>
      <w:tr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D8</w:t>
            </w:r>
          </w:p>
        </w:tc>
        <w:tc>
          <w:tcPr>
            <w:tcW w:type="dxa" w:w="28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Audit_Issues</w:t>
            </w:r>
          </w:p>
        </w:tc>
        <w:tc>
          <w:tcPr>
            <w:tcW w:type="dxa" w:w="26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qa_audit</w:t>
            </w:r>
          </w:p>
        </w:tc>
        <w:tc>
          <w:tcPr>
            <w:tcW w:type="dxa" w:w="223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transduced_exact</w:t>
            </w:r>
          </w:p>
        </w:tc>
        <w:tc>
          <w:tcPr>
            <w:tcW w:type="dxa" w:w="187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6/6 issues</w:t>
            </w:r>
          </w:p>
        </w:tc>
        <w:tc>
          <w:tcPr>
            <w:tcW w:type="dxa" w:w="460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Hallazgos del Catálogo Madre incorporados sin reescritura.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D6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Epistemic_Policy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epistemic_policy.global_rules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transduced_exact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6/6 rules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agregan cuatro reglas de frontera con fuente explícita.</w:t>
            </w:r>
          </w:p>
        </w:tc>
      </w:tr>
      <w:tr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D6</w:t>
            </w:r>
          </w:p>
        </w:tc>
        <w:tc>
          <w:tcPr>
            <w:tcW w:type="dxa" w:w="28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Runtime interactions source_nodes/source_codes</w:t>
            </w:r>
          </w:p>
        </w:tc>
        <w:tc>
          <w:tcPr>
            <w:tcW w:type="dxa" w:w="26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qa_audit</w:t>
            </w:r>
          </w:p>
        </w:tc>
        <w:tc>
          <w:tcPr>
            <w:tcW w:type="dxa" w:w="223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comparison_secondary</w:t>
            </w:r>
          </w:p>
        </w:tc>
        <w:tc>
          <w:tcPr>
            <w:tcW w:type="dxa" w:w="187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60/60 interactions</w:t>
            </w:r>
          </w:p>
        </w:tc>
        <w:tc>
          <w:tcPr>
            <w:tcW w:type="dxa" w:w="460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Todos los nodos y códigos de runtime existen en D8.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D6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Critical_Routes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critical_routes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comparison_secondary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4/4 routes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IDs, regla, bloqueo y downstream coinciden con D8.</w:t>
            </w:r>
          </w:p>
        </w:tc>
      </w:tr>
      <w:tr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D7</w:t>
            </w:r>
          </w:p>
        </w:tc>
        <w:tc>
          <w:tcPr>
            <w:tcW w:type="dxa" w:w="28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Catálogo Madre y reducción 40+20</w:t>
            </w:r>
          </w:p>
        </w:tc>
        <w:tc>
          <w:tcPr>
            <w:tcW w:type="dxa" w:w="26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governance metadata</w:t>
            </w:r>
          </w:p>
        </w:tc>
        <w:tc>
          <w:tcPr>
            <w:tcW w:type="dxa" w:w="223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editorial_context_only</w:t>
            </w:r>
          </w:p>
        </w:tc>
        <w:tc>
          <w:tcPr>
            <w:tcW w:type="dxa" w:w="187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boundary applied</w:t>
            </w:r>
          </w:p>
        </w:tc>
        <w:tc>
          <w:tcPr>
            <w:tcW w:type="dxa" w:w="460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Fase 3 preserva genealogía; no decide reducción visible.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D5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Autoridad entre artefactos</w:t>
            </w:r>
          </w:p>
        </w:tc>
        <w:tc>
          <w:tcPr>
            <w:tcW w:type="dxa" w:w="2664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governance metadata</w:t>
            </w:r>
          </w:p>
        </w:tc>
        <w:tc>
          <w:tcPr>
            <w:tcW w:type="dxa" w:w="223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editorial_context_only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boundary applied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D8 manda en genealogía; D5 no modifica nodos.</w:t>
            </w:r>
          </w:p>
        </w:tc>
      </w:tr>
      <w:tr>
        <w:tc>
          <w:tcPr>
            <w:tcW w:type="dxa" w:w="936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VSM1</w:t>
            </w:r>
          </w:p>
        </w:tc>
        <w:tc>
          <w:tcPr>
            <w:tcW w:type="dxa" w:w="2880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Caps. 4-10</w:t>
            </w:r>
          </w:p>
        </w:tc>
        <w:tc>
          <w:tcPr>
            <w:tcW w:type="dxa" w:w="2664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vsm_prep_guard</w:t>
            </w:r>
          </w:p>
        </w:tc>
        <w:tc>
          <w:tcPr>
            <w:tcW w:type="dxa" w:w="223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transduced_structured</w:t>
            </w:r>
          </w:p>
        </w:tc>
        <w:tc>
          <w:tcPr>
            <w:tcW w:type="dxa" w:w="1872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 guard rules</w:t>
            </w:r>
          </w:p>
        </w:tc>
        <w:tc>
          <w:tcPr>
            <w:tcW w:type="dxa" w:w="4608"/>
            <w:shd w:fill="F3F7FA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usan principios VSM como guardia, no para reasignar nodos ni emitir diagnóstico.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11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EVE Platform · </w:t>
    </w:r>
    <w:r>
      <w:rPr>
        <w:rFonts w:ascii="Arial" w:hAnsi="Arial"/>
        <w:color w:val="666666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EVE · 03 Canonical Catalog · v0.1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EVE · 03 Canonical Catalog · source-to-target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6F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632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ESubtitle">
    <w:name w:val="EVE Subtitle"/>
    <w:pPr>
      <w:spacing w:after="160"/>
    </w:pPr>
    <w:rPr>
      <w:rFonts w:ascii="Arial" w:hAnsi="Arial"/>
      <w:color w:val="1F6F78"/>
      <w:sz w:val="24"/>
    </w:rPr>
  </w:style>
  <w:style w:type="paragraph" w:customStyle="1" w:styleId="EVENote">
    <w:name w:val="EVE Note"/>
    <w:pPr>
      <w:spacing w:before="80" w:after="100"/>
      <w:ind w:left="216" w:right="216"/>
    </w:pPr>
    <w:rPr>
      <w:rFonts w:ascii="Arial" w:hAnsi="Arial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