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EVE 04 · Runtime Catalog 40+20</w:t>
      </w:r>
    </w:p>
    <w:p>
      <w:pPr>
        <w:jc w:val="left"/>
      </w:pPr>
      <w:r>
        <w:rPr>
          <w:b/>
          <w:color w:val="0F766E"/>
          <w:sz w:val="30"/>
        </w:rPr>
        <w:t>Chip rector regenerado · v0.2</w:t>
      </w:r>
    </w:p>
    <w:p>
      <w:r>
        <w:rPr>
          <w:i/>
        </w:rPr>
        <w:t>Cobertura 164/164 · 33/33 definiciones re-transducidas · 40 base + 20 causales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48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Valor</w:t>
            </w:r>
          </w:p>
        </w:tc>
      </w:tr>
      <w:tr>
        <w:trPr/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Chip ID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EVE-04-RUNTIME-CATALOG</w:t>
            </w:r>
          </w:p>
        </w:tc>
      </w:tr>
      <w:tr>
        <w:trPr/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Versión</w:t>
            </w:r>
          </w:p>
        </w:tc>
        <w:tc>
          <w:tcPr>
            <w:tcW w:type="dxa" w:w="748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0.2.0</w:t>
            </w:r>
          </w:p>
        </w:tc>
      </w:tr>
      <w:tr>
        <w:trPr/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Estado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READY</w:t>
            </w:r>
          </w:p>
        </w:tc>
      </w:tr>
      <w:tr>
        <w:trPr/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Validación</w:t>
            </w:r>
          </w:p>
        </w:tc>
        <w:tc>
          <w:tcPr>
            <w:tcW w:type="dxa" w:w="748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VALIDATED</w:t>
            </w:r>
          </w:p>
        </w:tc>
      </w:tr>
      <w:tr>
        <w:trPr/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Fuente runtime implementable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Catalogo_Runtime_40_20_EVE_MMABP_v1_1_1_Operacional_Ajustado.xlsx</w:t>
            </w:r>
          </w:p>
        </w:tc>
      </w:tr>
      <w:tr>
        <w:trPr/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Corrección</w:t>
            </w:r>
          </w:p>
        </w:tc>
        <w:tc>
          <w:tcPr>
            <w:tcW w:type="dxa" w:w="748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Transducción derivada; fuentes rectoras no modificadas</w:t>
            </w:r>
          </w:p>
        </w:tc>
      </w:tr>
    </w:tbl>
    <w:p>
      <w:pPr>
        <w:spacing w:after="40"/>
      </w:pPr>
    </w:p>
    <w:p>
      <w:pPr>
        <w:pStyle w:val="Heading1"/>
      </w:pPr>
      <w:r>
        <w:t>1. Dictamen</w:t>
      </w:r>
    </w:p>
    <w:p>
      <w:r>
        <w:t>El Catálogo Runtime 40+20 fue regenerado desde D6, preservando la genealogía D8, el gobierno D5 y la decisión de reducción D7. La regeneración corrige dos omisiones del artefacto derivado: B6_6_8 / 6.8 / trench_phrase queda mapeado a B6-Q38, y las 33 definiciones antes omitidas quedan re-transducidas desde las fichas canónicas de Bloques 0–6 con trazabilidad a nodo, código, documento e interacción runtime. No se modificaron los documentos fuente.</w:t>
      </w:r>
    </w:p>
    <w:p>
      <w:r>
        <w:t>El presupuesto sigue siendo 40 interacciones base y hasta 20 causales por actividad. Este chip no activa diagnóstico, export final, IR, registry ni transducción VSM/AHE.</w:t>
      </w:r>
    </w:p>
    <w:p>
      <w:pPr>
        <w:pStyle w:val="Heading1"/>
      </w:pPr>
      <w:r>
        <w:t>2. Módulos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446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201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Unidades</w:t>
            </w:r>
          </w:p>
        </w:tc>
        <w:tc>
          <w:tcPr>
            <w:tcW w:type="dxa" w:w="432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Fuente</w:t>
            </w:r>
          </w:p>
        </w:tc>
      </w:tr>
      <w:tr>
        <w:trPr/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runtime_interactions_base_40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40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D6 · Runtime_Interactions_Base_40</w:t>
            </w:r>
          </w:p>
        </w:tc>
      </w:tr>
      <w:tr>
        <w:trPr/>
        <w:tc>
          <w:tcPr>
            <w:tcW w:type="dxa" w:w="446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runtime_interactions_causal_20</w:t>
            </w:r>
          </w:p>
        </w:tc>
        <w:tc>
          <w:tcPr>
            <w:tcW w:type="dxa" w:w="2016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20</w:t>
            </w:r>
          </w:p>
        </w:tc>
        <w:tc>
          <w:tcPr>
            <w:tcW w:type="dxa" w:w="432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D6 · Runtime_Interactions_Causal_20</w:t>
            </w:r>
          </w:p>
        </w:tc>
      </w:tr>
      <w:tr>
        <w:trPr/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ux_subfield_structure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17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D6 · UX_Subfield_Structure</w:t>
            </w:r>
          </w:p>
        </w:tc>
      </w:tr>
      <w:tr>
        <w:trPr/>
        <w:tc>
          <w:tcPr>
            <w:tcW w:type="dxa" w:w="446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branching_budget_rules</w:t>
            </w:r>
          </w:p>
        </w:tc>
        <w:tc>
          <w:tcPr>
            <w:tcW w:type="dxa" w:w="2016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10 reglas + 11 pesos</w:t>
            </w:r>
          </w:p>
        </w:tc>
        <w:tc>
          <w:tcPr>
            <w:tcW w:type="dxa" w:w="432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D6 · Branching_Budget_Rules</w:t>
            </w:r>
          </w:p>
        </w:tc>
      </w:tr>
      <w:tr>
        <w:trPr/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readiness_gaps_reentry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7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D6 · Readiness_Gaps_Reentry</w:t>
            </w:r>
          </w:p>
        </w:tc>
      </w:tr>
    </w:tbl>
    <w:p>
      <w:pPr>
        <w:spacing w:after="40"/>
      </w:pPr>
    </w:p>
    <w:p>
      <w:pPr>
        <w:pStyle w:val="Heading1"/>
      </w:pPr>
      <w:r>
        <w:t>3. Correcciones incorporadas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58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590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Corrección</w:t>
            </w:r>
          </w:p>
        </w:tc>
        <w:tc>
          <w:tcPr>
            <w:tcW w:type="dxa" w:w="345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Resultado</w:t>
            </w:r>
          </w:p>
        </w:tc>
      </w:tr>
      <w:tr>
        <w:trPr/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CCOV-001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B6_6_8 / 6.8 / trench_phrase incorporado a B6-Q38 como subcampo textual separado.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Cobertura 164/164; presupuesto 40+20 intacto.</w:t>
            </w:r>
          </w:p>
        </w:tc>
      </w:tr>
      <w:tr>
        <w:trPr/>
        <w:tc>
          <w:tcPr>
            <w:tcW w:type="dxa" w:w="15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CVAR-001</w:t>
            </w:r>
          </w:p>
        </w:tc>
        <w:tc>
          <w:tcPr>
            <w:tcW w:type="dxa" w:w="590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33 definiciones re-transducidas desde fichas canónicas de Bloques 0–6.</w:t>
            </w:r>
          </w:p>
        </w:tc>
        <w:tc>
          <w:tcPr>
            <w:tcW w:type="dxa" w:w="3456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0 variables pendientes; 0 interacciones afectadas.</w:t>
            </w:r>
          </w:p>
        </w:tc>
      </w:tr>
    </w:tbl>
    <w:p>
      <w:pPr>
        <w:spacing w:after="40"/>
      </w:pPr>
    </w:p>
    <w:p>
      <w:pPr>
        <w:pStyle w:val="Heading1"/>
      </w:pPr>
      <w:r>
        <w:t>4. Distribución por bloque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Bloque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Base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Causal</w:t>
            </w:r>
          </w:p>
        </w:tc>
      </w:tr>
      <w:tr>
        <w:trPr/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</w:tr>
      <w:tr>
        <w:trPr/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0.5</w:t>
            </w:r>
          </w:p>
        </w:tc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</w:tr>
      <w:tr>
        <w:trPr/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</w:tr>
      <w:tr>
        <w:trPr/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</w:tr>
      <w:tr>
        <w:trPr/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</w:tr>
      <w:tr>
        <w:trPr/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</w:tr>
      <w:tr>
        <w:trPr/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</w:tr>
      <w:tr>
        <w:trPr/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</w:tr>
      <w:tr>
        <w:trPr/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7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</w:tr>
    </w:tbl>
    <w:p>
      <w:pPr>
        <w:spacing w:after="40"/>
      </w:pPr>
    </w:p>
    <w:p>
      <w:pPr>
        <w:pStyle w:val="Heading1"/>
      </w:pPr>
      <w:r>
        <w:t>5. Regla de integración</w:t>
      </w:r>
    </w:p>
    <w:p>
      <w:pPr>
        <w:pStyle w:val="ListNumber"/>
      </w:pPr>
      <w:r>
        <w:t>La cadena de autoridad es D8 -&gt; D7 -&gt; D5 -&gt; D6 -&gt; D4 -&gt; D3; D1 y VSM1 actúan como guardias metodológicas, no como sustitutos del catálogo.</w:t>
      </w:r>
    </w:p>
    <w:p>
      <w:pPr>
        <w:pStyle w:val="ListNumber"/>
      </w:pPr>
      <w:r>
        <w:t>La reducción ocurre en runtime, nunca eliminando nodos del Catálogo Madre.</w:t>
      </w:r>
    </w:p>
    <w:p>
      <w:pPr>
        <w:pStyle w:val="ListNumber"/>
      </w:pPr>
      <w:r>
        <w:t>El DOCX D5 gobierna y el XLSX D6 ejecuta; ninguna interacción nace de narrativa no materializada como fila.</w:t>
      </w:r>
    </w:p>
    <w:p>
      <w:pPr>
        <w:pStyle w:val="ListNumber"/>
      </w:pPr>
      <w:r>
        <w:t>Cada interacción compuesta cuenta como una interacción visible, pero persiste subrespuestas separadas con provenance.</w:t>
      </w:r>
    </w:p>
    <w:p>
      <w:pPr>
        <w:pStyle w:val="ListNumber"/>
      </w:pPr>
      <w:r>
        <w:t>Las causales se abren por evidencia estructural, ruta crítica, contradicción o gap; nunca por curiosidad analítica.</w:t>
      </w:r>
    </w:p>
    <w:p>
      <w:pPr>
        <w:pStyle w:val="ListNumber"/>
      </w:pPr>
      <w:r>
        <w:t>Conformance se verifica antes de consistencia; una contradicción obliga a volver a la realidad, no a alinear modelos cosméticamente.</w:t>
      </w:r>
    </w:p>
    <w:p>
      <w:pPr>
        <w:pStyle w:val="ListNumber"/>
      </w:pPr>
      <w:r>
        <w:t>PM, MoC, PF y OLC permanecen separados; VSM conserva metadatos paralelos de candidate signal.</w:t>
      </w:r>
    </w:p>
    <w:p>
      <w:pPr>
        <w:pStyle w:val="ListNumber"/>
      </w:pPr>
      <w:r>
        <w:t>B7 y C20 transportan preclasificación/confidence; no diagnostican ni producen IR, registry o export directo.</w:t>
      </w:r>
    </w:p>
    <w:p>
      <w:pPr>
        <w:pStyle w:val="ListNumber"/>
      </w:pPr>
      <w:r>
        <w:t>Los gaps, contradicciones y rutas no cerradas se conservan explícitos hasta reentry o manual review.</w:t>
      </w:r>
    </w:p>
    <w:p>
      <w:pPr>
        <w:pStyle w:val="ListNumber"/>
      </w:pPr>
      <w:r>
        <w:t>Producción Paralela consume evidence_items, variables y candidatos gobernados; nunca texto crudo convertido en diagrama.</w:t>
      </w:r>
    </w:p>
    <w:p>
      <w:pPr>
        <w:pStyle w:val="ListNumber"/>
      </w:pPr>
      <w:r>
        <w:t>Cuando una definición está presente en la ficha canónica upstream pero fue omitida del artefacto derivado, la corrección se realiza re-transduciendo con nodo, código y documento exactos; no se modifica la fuente ni se inventa contenido.</w:t>
      </w:r>
    </w:p>
    <w:p>
      <w:pPr>
        <w:pStyle w:val="Heading1"/>
      </w:pPr>
      <w:r>
        <w:t>6. Definiciones re-transducidas</w:t>
      </w:r>
    </w:p>
    <w:p>
      <w:r>
        <w:t>Las siguientes definiciones se incorporan al chip derivado. Cada registro conserva el bloque, el código fuente y la interacción runtime. No se añadió ni eliminó ningún nodo del Catálogo Madre.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302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Variable</w:t>
            </w:r>
          </w:p>
        </w:tc>
        <w:tc>
          <w:tcPr>
            <w:tcW w:type="dxa" w:w="187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Bloque / código</w:t>
            </w:r>
          </w:p>
        </w:tc>
        <w:tc>
          <w:tcPr>
            <w:tcW w:type="dxa" w:w="172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Interacción</w:t>
            </w:r>
          </w:p>
        </w:tc>
        <w:tc>
          <w:tcPr>
            <w:tcW w:type="dxa" w:w="46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Definición fuente</w:t>
            </w:r>
          </w:p>
        </w:tc>
      </w:tr>
      <w:tr>
        <w:trPr/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activity_boundary_clarification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 · 0.B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B0-Q04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Aclaración confirmada que separa la condición de inicio de la condición de cierre cuando ambas fronteras de la actividad quedaron mezcladas o difusas.</w:t>
            </w:r>
          </w:p>
        </w:tc>
      </w:tr>
      <w:tr>
        <w:trPr/>
        <w:tc>
          <w:tcPr>
            <w:tcW w:type="dxa" w:w="302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activity_frequency_pattern_hint</w:t>
            </w:r>
          </w:p>
        </w:tc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 · 0.3a</w:t>
            </w:r>
          </w:p>
        </w:tc>
        <w:tc>
          <w:tcPr>
            <w:tcW w:type="dxa" w:w="172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C01</w:t>
            </w:r>
          </w:p>
        </w:tc>
        <w:tc>
          <w:tcPr>
            <w:tcW w:type="dxa" w:w="460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Condición o circunstancia declarada que hace más probable una variación en la frecuencia de la actividad y permite caracterizar su patrón no estable.</w:t>
            </w:r>
          </w:p>
        </w:tc>
      </w:tr>
      <w:tr>
        <w:trPr/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activity_name_disambiguation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 · 0.A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B0-Q02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Rasgo operativo declarado que distingue la actividad de otras parecidas cuando su nombre inicial es demasiado amplio o genérico.</w:t>
            </w:r>
          </w:p>
        </w:tc>
      </w:tr>
      <w:tr>
        <w:trPr/>
        <w:tc>
          <w:tcPr>
            <w:tcW w:type="dxa" w:w="302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activity_scale_adjustment</w:t>
            </w:r>
          </w:p>
        </w:tc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 · 0.C</w:t>
            </w:r>
          </w:p>
        </w:tc>
        <w:tc>
          <w:tcPr>
            <w:tcW w:type="dxa" w:w="172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B0-Q02</w:t>
            </w:r>
          </w:p>
        </w:tc>
        <w:tc>
          <w:tcPr>
            <w:tcW w:type="dxa" w:w="460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Delimitación corregida de la porción concreta de trabajo que debe observarse de inicio a fin cuando la actividad original tiene una escala demasiado grande o demasiado pequeña.</w:t>
            </w:r>
          </w:p>
        </w:tc>
      </w:tr>
      <w:tr>
        <w:trPr/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activity_semantic_completion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 · 0.D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B0-Q01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Contenido aportado o corregido por el usuario para completar los componentes faltantes de la estructura semántica de la actividad: objeto o insumo, criterio o procedimiento y/o resultado listo.</w:t>
            </w:r>
          </w:p>
        </w:tc>
      </w:tr>
      <w:tr>
        <w:trPr/>
        <w:tc>
          <w:tcPr>
            <w:tcW w:type="dxa" w:w="302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activity_semantic_structure_corrected</w:t>
            </w:r>
          </w:p>
        </w:tc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 · 0.1a</w:t>
            </w:r>
          </w:p>
        </w:tc>
        <w:tc>
          <w:tcPr>
            <w:tcW w:type="dxa" w:w="172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B0-Q01</w:t>
            </w:r>
          </w:p>
        </w:tc>
        <w:tc>
          <w:tcPr>
            <w:tcW w:type="dxa" w:w="460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Versión corregida y confirmada por el usuario de la estructura semántica que expresa qué hace, sobre qué trabaja y qué resultado queda listo.</w:t>
            </w:r>
          </w:p>
        </w:tc>
      </w:tr>
      <w:tr>
        <w:trPr/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capacity_clarification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5 · 5.A, 5.B, 5.C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C15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Aclaración contextual de Bloque 5 que resuelve, según el código de origen, la comparabilidad de la métrica, la tensión entre sacrificio y sostenibilidad o el destino de la variedad residual.</w:t>
            </w:r>
          </w:p>
        </w:tc>
      </w:tr>
      <w:tr>
        <w:trPr/>
        <w:tc>
          <w:tcPr>
            <w:tcW w:type="dxa" w:w="302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clarifications_bundle_0_5_A</w:t>
            </w:r>
          </w:p>
        </w:tc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0.5 · 0.5.A</w:t>
            </w:r>
          </w:p>
        </w:tc>
        <w:tc>
          <w:tcPr>
            <w:tcW w:type="dxa" w:w="172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C02</w:t>
            </w:r>
          </w:p>
        </w:tc>
        <w:tc>
          <w:tcPr>
            <w:tcW w:type="dxa" w:w="460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Bundle estructurado que conserva la aclaración del cliente funcional y de la distribución entre beneficio y daño, separándolos del receptor inmediato.</w:t>
            </w:r>
          </w:p>
        </w:tc>
      </w:tr>
      <w:tr>
        <w:trPr/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clarifications_bundle_0_5_B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0.5 · 0.5.B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B05-Q06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Bundle estructurado que conserva la aclaración del proceso contenedor o macroproceso cuando la respuesta inicial quedó demasiado amplia o demasiado pegada a la tarea.</w:t>
            </w:r>
          </w:p>
        </w:tc>
      </w:tr>
      <w:tr>
        <w:trPr/>
        <w:tc>
          <w:tcPr>
            <w:tcW w:type="dxa" w:w="302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clarifications_bundle_0_5_C</w:t>
            </w:r>
          </w:p>
        </w:tc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0.5 · 0.5.C</w:t>
            </w:r>
          </w:p>
        </w:tc>
        <w:tc>
          <w:tcPr>
            <w:tcW w:type="dxa" w:w="172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C02</w:t>
            </w:r>
          </w:p>
        </w:tc>
        <w:tc>
          <w:tcPr>
            <w:tcW w:type="dxa" w:w="460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Bundle estructurado que conserva la aclaración del hito real habilitado cuando la respuesta inicial describe solamente la tarea local.</w:t>
            </w:r>
          </w:p>
        </w:tc>
      </w:tr>
      <w:tr>
        <w:trPr/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compensation_clarification_authority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6 · 6.B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C17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Aclaración que distingue si una práctica informal es una regla oficial no documentada o una práctica tolerada sin aprobación formal.</w:t>
            </w:r>
          </w:p>
        </w:tc>
      </w:tr>
      <w:tr>
        <w:trPr/>
        <w:tc>
          <w:tcPr>
            <w:tcW w:type="dxa" w:w="302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compensation_clarification_normalized_cost</w:t>
            </w:r>
          </w:p>
        </w:tc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6 · 6.C</w:t>
            </w:r>
          </w:p>
        </w:tc>
        <w:tc>
          <w:tcPr>
            <w:tcW w:type="dxa" w:w="172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C18</w:t>
            </w:r>
          </w:p>
        </w:tc>
        <w:tc>
          <w:tcPr>
            <w:tcW w:type="dxa" w:w="460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Aclaración que distingue si el sacrificio o costo humano se considera legítimo o si se ha normalizado por habituación.</w:t>
            </w:r>
          </w:p>
        </w:tc>
      </w:tr>
      <w:tr>
        <w:trPr/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compensation_clarification_silence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6 · 6.A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C19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Aclaración que explicita el mecanismo de compensación omitido cuando existe una brecha o falla pero no se declaró cómo se evita la caída de la actividad.</w:t>
            </w:r>
          </w:p>
        </w:tc>
      </w:tr>
      <w:tr>
        <w:trPr/>
        <w:tc>
          <w:tcPr>
            <w:tcW w:type="dxa" w:w="302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delivery_exception_clarification</w:t>
            </w:r>
          </w:p>
        </w:tc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3 · 3.C</w:t>
            </w:r>
          </w:p>
        </w:tc>
        <w:tc>
          <w:tcPr>
            <w:tcW w:type="dxa" w:w="172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C08</w:t>
            </w:r>
          </w:p>
        </w:tc>
        <w:tc>
          <w:tcPr>
            <w:tcW w:type="dxa" w:w="460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Aclaración que concreta qué se rompe en una entrega fallida y qué hace el receptor o quién compensa cuando ocurre.</w:t>
            </w:r>
          </w:p>
        </w:tc>
      </w:tr>
      <w:tr>
        <w:trPr/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dimension_dominante_AB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 · 2.1_AB_Relacion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C04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Selección confirmada de la dimensión que limita principalmente entre objeto y sujeto, o declaración de que ambas limitan por igual.</w:t>
            </w:r>
          </w:p>
        </w:tc>
      </w:tr>
      <w:tr>
        <w:trPr/>
        <w:tc>
          <w:tcPr>
            <w:tcW w:type="dxa" w:w="302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dimension_dominante_ABC</w:t>
            </w:r>
          </w:p>
        </w:tc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 · 2.1_ABC_Relacion</w:t>
            </w:r>
          </w:p>
        </w:tc>
        <w:tc>
          <w:tcPr>
            <w:tcW w:type="dxa" w:w="172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C04</w:t>
            </w:r>
          </w:p>
        </w:tc>
        <w:tc>
          <w:tcPr>
            <w:tcW w:type="dxa" w:w="460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Selección confirmada de la dimensión que limita principalmente entre objeto, sujeto y acción, o declaración de que las tres limitan por igual.</w:t>
            </w:r>
          </w:p>
        </w:tc>
      </w:tr>
      <w:tr>
        <w:trPr/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dimension_dominante_AC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 · 2.1_AC_Relacion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C04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Selección confirmada de la dimensión que limita principalmente entre objeto y acción, o declaración de que ambas limitan por igual.</w:t>
            </w:r>
          </w:p>
        </w:tc>
      </w:tr>
      <w:tr>
        <w:trPr/>
        <w:tc>
          <w:tcPr>
            <w:tcW w:type="dxa" w:w="302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dimension_dominante_BC</w:t>
            </w:r>
          </w:p>
        </w:tc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 · 2.1_BC_Relacion</w:t>
            </w:r>
          </w:p>
        </w:tc>
        <w:tc>
          <w:tcPr>
            <w:tcW w:type="dxa" w:w="172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C04</w:t>
            </w:r>
          </w:p>
        </w:tc>
        <w:tc>
          <w:tcPr>
            <w:tcW w:type="dxa" w:w="460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Selección confirmada de la dimensión que limita principalmente entre sujeto y acción, o declaración de que ambas limitan por igual.</w:t>
            </w:r>
          </w:p>
        </w:tc>
      </w:tr>
      <w:tr>
        <w:trPr/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dimension_dominante_clarificada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 · 2.A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C04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Aclaración confirmada que resuelve cuál dimensión o combinación limita principalmente la transformación cuando las respuestas previas son ambiguas o contradictorias.</w:t>
            </w:r>
          </w:p>
        </w:tc>
      </w:tr>
      <w:tr>
        <w:trPr/>
        <w:tc>
          <w:tcPr>
            <w:tcW w:type="dxa" w:w="302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flow_dependency_clarification</w:t>
            </w:r>
          </w:p>
        </w:tc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 · 4.A</w:t>
            </w:r>
          </w:p>
        </w:tc>
        <w:tc>
          <w:tcPr>
            <w:tcW w:type="dxa" w:w="172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B4-Q23</w:t>
            </w:r>
          </w:p>
        </w:tc>
        <w:tc>
          <w:tcPr>
            <w:tcW w:type="dxa" w:w="460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Ejemplo concreto que precisa una dependencia previa o posterior demasiado general, identificando qué debe estar listo o quién queda detenido.</w:t>
            </w:r>
          </w:p>
        </w:tc>
      </w:tr>
      <w:tr>
        <w:trPr/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flow_nonlinearity_clarification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 · 4.C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C14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Caso típico que articula cómo se conectan bloqueos, rutas alternativas o paralelismos cuando el flujo no lineal quedó ambiguo.</w:t>
            </w:r>
          </w:p>
        </w:tc>
      </w:tr>
      <w:tr>
        <w:trPr/>
        <w:tc>
          <w:tcPr>
            <w:tcW w:type="dxa" w:w="302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flow_workaround_clarification</w:t>
            </w:r>
          </w:p>
        </w:tc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 · 4.B</w:t>
            </w:r>
          </w:p>
        </w:tc>
        <w:tc>
          <w:tcPr>
            <w:tcW w:type="dxa" w:w="172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C14</w:t>
            </w:r>
          </w:p>
        </w:tc>
        <w:tc>
          <w:tcPr>
            <w:tcW w:type="dxa" w:w="460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Caso típico que concreta pasos extra, reordenamientos o desvíos reales respecto del flujo oficial.</w:t>
            </w:r>
          </w:p>
        </w:tc>
      </w:tr>
      <w:tr>
        <w:trPr/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informal_rule_description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6 · 6.4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B6-Q36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Descripción literal de la práctica o regla no oficial que el actor aplica porque permite que la actividad funcione.</w:t>
            </w:r>
          </w:p>
        </w:tc>
      </w:tr>
      <w:tr>
        <w:trPr/>
        <w:tc>
          <w:tcPr>
            <w:tcW w:type="dxa" w:w="302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informal_rule_status</w:t>
            </w:r>
          </w:p>
        </w:tc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6 · 6.4</w:t>
            </w:r>
          </w:p>
        </w:tc>
        <w:tc>
          <w:tcPr>
            <w:tcW w:type="dxa" w:w="172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B6-Q36</w:t>
            </w:r>
          </w:p>
        </w:tc>
        <w:tc>
          <w:tcPr>
            <w:tcW w:type="dxa" w:w="460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Condición de reconocimiento o autorización organizacional de la regla informal capturada junto con su descripción.</w:t>
            </w:r>
          </w:p>
        </w:tc>
      </w:tr>
      <w:tr>
        <w:trPr/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primary_receiver_clarification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3 · 3.A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B3-Q18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Aclaración que identifica al primer receptor real de la entrega y lo distingue de actores que solamente tienen acceso después.</w:t>
            </w:r>
          </w:p>
        </w:tc>
      </w:tr>
      <w:tr>
        <w:trPr/>
        <w:tc>
          <w:tcPr>
            <w:tcW w:type="dxa" w:w="302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quality_criteria_clarification</w:t>
            </w:r>
          </w:p>
        </w:tc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3 · 3.B</w:t>
            </w:r>
          </w:p>
        </w:tc>
        <w:tc>
          <w:tcPr>
            <w:tcW w:type="dxa" w:w="172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B3-Q20</w:t>
            </w:r>
          </w:p>
        </w:tc>
        <w:tc>
          <w:tcPr>
            <w:tcW w:type="dxa" w:w="460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Criterio observable que precisa qué tendría que faltar o salir mal para que el receptor considere que la entrega no está correctamente realizada.</w:t>
            </w:r>
          </w:p>
        </w:tc>
      </w:tr>
      <w:tr>
        <w:trPr/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transformation_exception_description_clarified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 · 2.B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C05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Aclaración que identifica la primera manifestación concreta de una transformación que falla o no cambia como debería.</w:t>
            </w:r>
          </w:p>
        </w:tc>
      </w:tr>
      <w:tr>
        <w:trPr/>
        <w:tc>
          <w:tcPr>
            <w:tcW w:type="dxa" w:w="302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transformation_hidden_changes_description_clarified</w:t>
            </w:r>
          </w:p>
        </w:tc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 · 2.C</w:t>
            </w:r>
          </w:p>
        </w:tc>
        <w:tc>
          <w:tcPr>
            <w:tcW w:type="dxa" w:w="172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C06</w:t>
            </w:r>
          </w:p>
        </w:tc>
        <w:tc>
          <w:tcPr>
            <w:tcW w:type="dxa" w:w="460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Aclaración que identifica el cambio no oficial concreto y el actor u origen desde el que ocurre fuera del procedimiento normal.</w:t>
            </w:r>
          </w:p>
        </w:tc>
      </w:tr>
      <w:tr>
        <w:trPr/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trigger_ambiguity_resolution_note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 · 1.A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C03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Nota capturada que registra la señal que el actor usa para decidir iniciar o esperar cuando el disparador es ambiguo.</w:t>
            </w:r>
          </w:p>
        </w:tc>
      </w:tr>
      <w:tr>
        <w:trPr/>
        <w:tc>
          <w:tcPr>
            <w:tcW w:type="dxa" w:w="302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trigger_dominant_channel</w:t>
            </w:r>
          </w:p>
        </w:tc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 · 1.C</w:t>
            </w:r>
          </w:p>
        </w:tc>
        <w:tc>
          <w:tcPr>
            <w:tcW w:type="dxa" w:w="172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C03</w:t>
            </w:r>
          </w:p>
        </w:tc>
        <w:tc>
          <w:tcPr>
            <w:tcW w:type="dxa" w:w="460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Canal que efectivamente prevalece cuando múltiples canales de inicio se contradicen.</w:t>
            </w:r>
          </w:p>
        </w:tc>
      </w:tr>
      <w:tr>
        <w:trPr/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trigger_dominant_source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 · 1.C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C03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Fuente que efectivamente prevalece cuando múltiples fuentes del disparador se contradicen.</w:t>
            </w:r>
          </w:p>
        </w:tc>
      </w:tr>
      <w:tr>
        <w:trPr/>
        <w:tc>
          <w:tcPr>
            <w:tcW w:type="dxa" w:w="302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trigger_exception_first_symptom</w:t>
            </w:r>
          </w:p>
        </w:tc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 · 1.B</w:t>
            </w:r>
          </w:p>
        </w:tc>
        <w:tc>
          <w:tcPr>
            <w:tcW w:type="dxa" w:w="172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C03</w:t>
            </w:r>
          </w:p>
        </w:tc>
        <w:tc>
          <w:tcPr>
            <w:tcW w:type="dxa" w:w="460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Primer síntoma observable de que la actividad debía comenzar pero no comenzó.</w:t>
            </w:r>
          </w:p>
        </w:tc>
      </w:tr>
      <w:tr>
        <w:trPr/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trigger_source_hierarchy_note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 · 1.C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C03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Nota que explicita la jerarquía real entre fuentes y canales del disparador y el criterio con que se resuelven contradicciones.</w:t>
            </w:r>
          </w:p>
        </w:tc>
      </w:tr>
    </w:tbl>
    <w:p>
      <w:pPr>
        <w:spacing w:after="40"/>
      </w:pPr>
    </w:p>
    <w:p>
      <w:pPr>
        <w:pStyle w:val="Heading1"/>
      </w:pPr>
      <w:r>
        <w:t>7. Corrección B6-Q38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748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Valor</w:t>
            </w:r>
          </w:p>
        </w:tc>
      </w:tr>
      <w:tr>
        <w:trPr/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Interacción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B6-Q38</w:t>
            </w:r>
          </w:p>
        </w:tc>
      </w:tr>
      <w:tr>
        <w:trPr/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Nodos fuente</w:t>
            </w:r>
          </w:p>
        </w:tc>
        <w:tc>
          <w:tcPr>
            <w:tcW w:type="dxa" w:w="748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B6_6_8, B6_6_9, B6_6_10, B6_6_11</w:t>
            </w:r>
          </w:p>
        </w:tc>
      </w:tr>
      <w:tr>
        <w:trPr/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Códigos fuente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6.8, 6.9, 6.10, 6.11</w:t>
            </w:r>
          </w:p>
        </w:tc>
      </w:tr>
      <w:tr>
        <w:trPr/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Subcampos</w:t>
            </w:r>
          </w:p>
        </w:tc>
        <w:tc>
          <w:tcPr>
            <w:tcW w:type="dxa" w:w="748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trench_phrase; repetitive_failure_pattern; extra_work_absorbed; compensation_primary_mechanism</w:t>
            </w:r>
          </w:p>
        </w:tc>
      </w:tr>
      <w:tr>
        <w:trPr/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Variables requeridas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trench_phrase; repetitive_failure_pattern; residual_variety_absorption; compensation_primary_mechanism</w:t>
            </w:r>
          </w:p>
        </w:tc>
      </w:tr>
      <w:tr>
        <w:trPr/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Presupuesto</w:t>
            </w:r>
          </w:p>
        </w:tc>
        <w:tc>
          <w:tcPr>
            <w:tcW w:type="dxa" w:w="748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Sin cambio: una interacción base compuesta</w:t>
            </w:r>
          </w:p>
        </w:tc>
      </w:tr>
    </w:tbl>
    <w:p>
      <w:pPr>
        <w:spacing w:after="40"/>
      </w:pPr>
    </w:p>
    <w:p>
      <w:pPr>
        <w:pStyle w:val="Heading1"/>
      </w:pPr>
      <w:r>
        <w:t>8. QA y cobertura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6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46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Resultado</w:t>
            </w:r>
          </w:p>
        </w:tc>
      </w:tr>
      <w:tr>
        <w:trPr/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Interacciones base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40 / 40</w:t>
            </w:r>
          </w:p>
        </w:tc>
      </w:tr>
      <w:tr>
        <w:trPr/>
        <w:tc>
          <w:tcPr>
            <w:tcW w:type="dxa" w:w="460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Interacciones causales</w:t>
            </w:r>
          </w:p>
        </w:tc>
        <w:tc>
          <w:tcPr>
            <w:tcW w:type="dxa" w:w="460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20 / 20</w:t>
            </w:r>
          </w:p>
        </w:tc>
      </w:tr>
      <w:tr>
        <w:trPr/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Nodos madre mapeados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164 / 164</w:t>
            </w:r>
          </w:p>
        </w:tc>
      </w:tr>
      <w:tr>
        <w:trPr/>
        <w:tc>
          <w:tcPr>
            <w:tcW w:type="dxa" w:w="460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Definiciones re-transducidas</w:t>
            </w:r>
          </w:p>
        </w:tc>
        <w:tc>
          <w:tcPr>
            <w:tcW w:type="dxa" w:w="460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33 / 33</w:t>
            </w:r>
          </w:p>
        </w:tc>
      </w:tr>
      <w:tr>
        <w:trPr/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Rutas críticas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18 / 18</w:t>
            </w:r>
          </w:p>
        </w:tc>
      </w:tr>
      <w:tr>
        <w:trPr/>
        <w:tc>
          <w:tcPr>
            <w:tcW w:type="dxa" w:w="460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Estructuras UX compuestas</w:t>
            </w:r>
          </w:p>
        </w:tc>
        <w:tc>
          <w:tcPr>
            <w:tcW w:type="dxa" w:w="460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17 / 17</w:t>
            </w:r>
          </w:p>
        </w:tc>
      </w:tr>
      <w:tr>
        <w:trPr/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QA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20 PASS · 0 FLAG · 0 FAIL</w:t>
            </w:r>
          </w:p>
        </w:tc>
      </w:tr>
      <w:tr>
        <w:trPr/>
        <w:tc>
          <w:tcPr>
            <w:tcW w:type="dxa" w:w="460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Fuentes rectoras modificadas</w:t>
            </w:r>
          </w:p>
        </w:tc>
        <w:tc>
          <w:tcPr>
            <w:tcW w:type="dxa" w:w="460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0</w:t>
            </w:r>
          </w:p>
        </w:tc>
      </w:tr>
    </w:tbl>
    <w:p>
      <w:pPr>
        <w:spacing w:after="40"/>
      </w:pPr>
    </w:p>
    <w:p>
      <w:pPr>
        <w:pStyle w:val="Heading1"/>
      </w:pPr>
      <w:r>
        <w:t>9. Fronteras</w:t>
      </w:r>
    </w:p>
    <w:p>
      <w:pPr>
        <w:pStyle w:val="ListBullet"/>
      </w:pPr>
      <w:r>
        <w:t>Las señales VSM/AHE permanecen como preparación no diagnóstica.</w:t>
      </w:r>
    </w:p>
    <w:p>
      <w:pPr>
        <w:pStyle w:val="ListBullet"/>
      </w:pPr>
      <w:r>
        <w:t>No se fija sistema en foco, recursión, autonomía, función VSM o lectura AHE cerrada desde una interacción aislada.</w:t>
      </w:r>
    </w:p>
    <w:p>
      <w:pPr>
        <w:pStyle w:val="ListBullet"/>
      </w:pPr>
      <w:r>
        <w:t>No se genera diagnóstico, export final, IR, registry ni Producción Paralela desde texto crudo.</w:t>
      </w:r>
    </w:p>
    <w:p>
      <w:pPr>
        <w:pStyle w:val="ListBullet"/>
      </w:pPr>
      <w:r>
        <w:t>La instalación del chip debe ser controlada y no implica promoción automática a runtime productivo.</w:t>
      </w:r>
    </w:p>
    <w:p>
      <w:pPr>
        <w:pStyle w:val="Heading1"/>
      </w:pPr>
      <w:r>
        <w:t>10. Artefactos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Artefacto</w:t>
            </w:r>
          </w:p>
        </w:tc>
        <w:tc>
          <w:tcPr>
            <w:tcW w:type="dxa" w:w="691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Función</w:t>
            </w:r>
          </w:p>
        </w:tc>
      </w:tr>
      <w:tr>
        <w:trPr/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DOCX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Documento rector humano</w:t>
            </w:r>
          </w:p>
        </w:tc>
      </w:tr>
      <w:tr>
        <w:trPr/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XLSX</w:t>
            </w:r>
          </w:p>
        </w:tc>
        <w:tc>
          <w:tcPr>
            <w:tcW w:type="dxa" w:w="691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Catálogo operativo y matrices de integración</w:t>
            </w:r>
          </w:p>
        </w:tc>
      </w:tr>
      <w:tr>
        <w:trPr/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JSON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Chip máquina completo</w:t>
            </w:r>
          </w:p>
        </w:tc>
      </w:tr>
      <w:tr>
        <w:trPr/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TS</w:t>
            </w:r>
          </w:p>
        </w:tc>
        <w:tc>
          <w:tcPr>
            <w:tcW w:type="dxa" w:w="691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Módulo tipado y validadores</w:t>
            </w:r>
          </w:p>
        </w:tc>
      </w:tr>
      <w:tr>
        <w:trPr/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Referencia técnica ligera</w:t>
            </w:r>
          </w:p>
        </w:tc>
      </w:tr>
      <w:tr>
        <w:trPr/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Manifest JSON</w:t>
            </w:r>
          </w:p>
        </w:tc>
        <w:tc>
          <w:tcPr>
            <w:tcW w:type="dxa" w:w="691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Checksums, fuentes, conteos y QA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EVE · Fase 4 · Runtime Catalog 40+20 · v0.2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