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961500"/>
          <w:sz w:val="44"/>
        </w:rPr>
        <w:t>INFORME EJECUTIVO DE SUPERVISIÓN OPERATIVA</w:t>
      </w:r>
    </w:p>
    <w:p>
      <w:pPr>
        <w:spacing w:after="280"/>
      </w:pPr>
      <w:r>
        <w:rPr>
          <w:rFonts w:ascii="Calibri" w:hAnsi="Calibri"/>
          <w:color w:val="646464"/>
          <w:sz w:val="26"/>
        </w:rPr>
        <w:t>Análisis Comparativo: Histórico Total vs. Período Reciente (Desde 1 de Julio de 2026)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9F5F5"/>
          </w:tcPr>
          <w:p>
            <w:pPr>
              <w:spacing w:after="40"/>
            </w:pPr>
            <w:r>
              <w:rPr>
                <w:b/>
                <w:sz w:val="19"/>
              </w:rPr>
              <w:t xml:space="preserve">Empresa: </w:t>
            </w:r>
            <w:r>
              <w:rPr>
                <w:sz w:val="19"/>
              </w:rPr>
              <w:t>Daily Lover Matchmaking</w:t>
            </w:r>
          </w:p>
        </w:tc>
        <w:tc>
          <w:tcPr>
            <w:tcW w:type="dxa" w:w="4968"/>
            <w:shd w:fill="F9F5F5"/>
          </w:tcPr>
          <w:p>
            <w:pPr>
              <w:spacing w:after="40"/>
            </w:pPr>
            <w:r>
              <w:rPr>
                <w:b/>
                <w:sz w:val="19"/>
              </w:rPr>
              <w:t xml:space="preserve">Fecha: </w:t>
            </w:r>
            <w:r>
              <w:rPr>
                <w:sz w:val="19"/>
              </w:rPr>
              <w:t>9 de Septiembre de 2026</w:t>
            </w:r>
          </w:p>
        </w:tc>
      </w:tr>
      <w:tr>
        <w:tc>
          <w:tcPr>
            <w:tcW w:type="dxa" w:w="4968"/>
            <w:shd w:fill="F9F5F5"/>
          </w:tcPr>
          <w:p>
            <w:pPr>
              <w:spacing w:after="40"/>
            </w:pPr>
            <w:r>
              <w:rPr>
                <w:b/>
                <w:sz w:val="19"/>
              </w:rPr>
              <w:t xml:space="preserve">Destinatario: </w:t>
            </w:r>
            <w:r>
              <w:rPr>
                <w:sz w:val="19"/>
              </w:rPr>
              <w:t>Supervisión Operativa / María</w:t>
            </w:r>
          </w:p>
        </w:tc>
        <w:tc>
          <w:tcPr>
            <w:tcW w:type="dxa" w:w="4968"/>
            <w:shd w:fill="F9F5F5"/>
          </w:tcPr>
          <w:p>
            <w:pPr>
              <w:spacing w:after="40"/>
            </w:pPr>
            <w:r>
              <w:rPr>
                <w:b/>
                <w:sz w:val="19"/>
              </w:rPr>
              <w:t xml:space="preserve">Preparado por: </w:t>
            </w:r>
            <w:r>
              <w:rPr>
                <w:sz w:val="19"/>
              </w:rPr>
              <w:t>Antigravity AI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961500"/>
        </w:rPr>
        <w:t>1. Resumen Ejecutivo y Respuesta a la Dirección</w:t>
      </w:r>
    </w:p>
    <w:p>
      <w:r>
        <w:t>El presente informe técnico y operativo responde a la consulta de la dirección sobre el origen temporal de las métricas presentadas en el Panel de Supervisión.</w:t>
        <w:br/>
        <w:br/>
      </w:r>
      <w:r>
        <w:rPr>
          <w:b/>
        </w:rPr>
        <w:t xml:space="preserve">• Origen de los datos anteriores: </w:t>
      </w:r>
      <w:r>
        <w:t>Eran 100% HISTÓRICOS TOTALES (All-Time). No tenían filtro de fecha e integraban todas las filas desde la creación de la hoja, incluyendo más de 4.100 clientes de PROFILES sin fecha registrada y miles de plantillas acumuladas.</w:t>
        <w:br/>
      </w:r>
      <w:r>
        <w:rPr>
          <w:b/>
        </w:rPr>
        <w:t xml:space="preserve">• Brecha real del período reciente: </w:t>
      </w:r>
      <w:r>
        <w:t>Al filtrar exclusivamente desde el 1 de julio de 2026, la brecha de clientes sin procesar NO es de 702, sino de tan solo 73 clientes (reducción del 89.6%).</w:t>
        <w:br/>
      </w:r>
      <w:r>
        <w:rPr>
          <w:b/>
        </w:rPr>
        <w:t xml:space="preserve">• Eficiencia real del equipo: </w:t>
      </w:r>
      <w:r>
        <w:t>La tasa de matches aprobados sobre slots gestionados sube del 27% histórico al 46% en el período reciente.</w:t>
      </w:r>
    </w:p>
    <w:p>
      <w:pPr>
        <w:pStyle w:val="Heading1"/>
      </w:pPr>
      <w:r>
        <w:rPr>
          <w:color w:val="961500"/>
        </w:rPr>
        <w:t>2. Comparativo Global Macro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961500"/>
          </w:tcPr>
          <w:p>
            <w:r>
              <w:rPr>
                <w:b/>
                <w:color w:val="FFFFFF"/>
                <w:sz w:val="19"/>
              </w:rPr>
              <w:t>Indicador Operativo</w:t>
            </w:r>
          </w:p>
        </w:tc>
        <w:tc>
          <w:tcPr>
            <w:tcW w:type="dxa" w:w="2484"/>
            <w:shd w:fill="961500"/>
          </w:tcPr>
          <w:p>
            <w:r>
              <w:rPr>
                <w:b/>
                <w:color w:val="FFFFFF"/>
                <w:sz w:val="19"/>
              </w:rPr>
              <w:t>Histórico Total</w:t>
            </w:r>
          </w:p>
        </w:tc>
        <w:tc>
          <w:tcPr>
            <w:tcW w:type="dxa" w:w="2484"/>
            <w:shd w:fill="961500"/>
          </w:tcPr>
          <w:p>
            <w:r>
              <w:rPr>
                <w:b/>
                <w:color w:val="FFFFFF"/>
                <w:sz w:val="19"/>
              </w:rPr>
              <w:t>Desde 1 Julio 2026</w:t>
            </w:r>
          </w:p>
        </w:tc>
        <w:tc>
          <w:tcPr>
            <w:tcW w:type="dxa" w:w="2484"/>
            <w:shd w:fill="961500"/>
          </w:tcPr>
          <w:p>
            <w:r>
              <w:rPr>
                <w:b/>
                <w:color w:val="FFFFFF"/>
                <w:sz w:val="19"/>
              </w:rPr>
              <w:t>Impacto Real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Total Slots Registrados</w:t>
            </w:r>
          </w:p>
        </w:tc>
        <w:tc>
          <w:tcPr>
            <w:tcW w:type="dxa" w:w="2484"/>
          </w:tcPr>
          <w:p>
            <w:pPr>
              <w:jc w:val="right"/>
            </w:pPr>
            <w:r>
              <w:rPr>
                <w:b/>
                <w:sz w:val="18"/>
              </w:rPr>
              <w:t>5.623</w:t>
            </w:r>
          </w:p>
        </w:tc>
        <w:tc>
          <w:tcPr>
            <w:tcW w:type="dxa" w:w="2484"/>
          </w:tcPr>
          <w:p>
            <w:pPr>
              <w:jc w:val="right"/>
            </w:pPr>
            <w:r>
              <w:rPr>
                <w:b/>
                <w:sz w:val="18"/>
              </w:rPr>
              <w:t>636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Depuración de 4.987 slots viejos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Clientes Asignados (PROFILES)</w:t>
            </w:r>
          </w:p>
        </w:tc>
        <w:tc>
          <w:tcPr>
            <w:tcW w:type="dxa" w:w="2484"/>
          </w:tcPr>
          <w:p>
            <w:pPr>
              <w:jc w:val="right"/>
            </w:pPr>
            <w:r>
              <w:rPr>
                <w:b/>
                <w:sz w:val="18"/>
              </w:rPr>
              <w:t>2.137</w:t>
            </w:r>
          </w:p>
        </w:tc>
        <w:tc>
          <w:tcPr>
            <w:tcW w:type="dxa" w:w="2484"/>
          </w:tcPr>
          <w:p>
            <w:pPr>
              <w:jc w:val="right"/>
            </w:pPr>
            <w:r>
              <w:rPr>
                <w:b/>
                <w:sz w:val="18"/>
              </w:rPr>
              <w:t>465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Entrevistas reales en jul-sep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Clientes Procesados (MATCHES)</w:t>
            </w:r>
          </w:p>
        </w:tc>
        <w:tc>
          <w:tcPr>
            <w:tcW w:type="dxa" w:w="2484"/>
          </w:tcPr>
          <w:p>
            <w:pPr>
              <w:jc w:val="right"/>
            </w:pPr>
            <w:r>
              <w:rPr>
                <w:b/>
                <w:sz w:val="18"/>
              </w:rPr>
              <w:t>1.435</w:t>
            </w:r>
          </w:p>
        </w:tc>
        <w:tc>
          <w:tcPr>
            <w:tcW w:type="dxa" w:w="2484"/>
          </w:tcPr>
          <w:p>
            <w:pPr>
              <w:jc w:val="right"/>
            </w:pPr>
            <w:r>
              <w:rPr>
                <w:b/>
                <w:sz w:val="18"/>
              </w:rPr>
              <w:t>392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84.3% de cobertura real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Brecha (Clientes sin atender)</w:t>
            </w:r>
          </w:p>
        </w:tc>
        <w:tc>
          <w:tcPr>
            <w:tcW w:type="dxa" w:w="2484"/>
          </w:tcPr>
          <w:p>
            <w:pPr>
              <w:jc w:val="right"/>
            </w:pPr>
            <w:r>
              <w:rPr>
                <w:b/>
                <w:sz w:val="18"/>
              </w:rPr>
              <w:t>702</w:t>
            </w:r>
          </w:p>
        </w:tc>
        <w:tc>
          <w:tcPr>
            <w:tcW w:type="dxa" w:w="2484"/>
          </w:tcPr>
          <w:p>
            <w:pPr>
              <w:jc w:val="right"/>
            </w:pPr>
            <w:r>
              <w:rPr>
                <w:b/>
                <w:sz w:val="18"/>
              </w:rPr>
              <w:t>73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Reducción del 89.6% de la brecha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Matches Aprobados</w:t>
            </w:r>
          </w:p>
        </w:tc>
        <w:tc>
          <w:tcPr>
            <w:tcW w:type="dxa" w:w="2484"/>
          </w:tcPr>
          <w:p>
            <w:pPr>
              <w:jc w:val="right"/>
            </w:pPr>
            <w:r>
              <w:rPr>
                <w:b/>
                <w:sz w:val="18"/>
              </w:rPr>
              <w:t>1.543</w:t>
            </w:r>
          </w:p>
        </w:tc>
        <w:tc>
          <w:tcPr>
            <w:tcW w:type="dxa" w:w="2484"/>
          </w:tcPr>
          <w:p>
            <w:pPr>
              <w:jc w:val="right"/>
            </w:pPr>
            <w:r>
              <w:rPr>
                <w:b/>
                <w:sz w:val="18"/>
              </w:rPr>
              <w:t>291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Producción neta del trimestre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Eficiencia Operativa</w:t>
            </w:r>
          </w:p>
        </w:tc>
        <w:tc>
          <w:tcPr>
            <w:tcW w:type="dxa" w:w="2484"/>
          </w:tcPr>
          <w:p>
            <w:pPr>
              <w:jc w:val="right"/>
            </w:pPr>
            <w:r>
              <w:rPr>
                <w:b/>
                <w:sz w:val="18"/>
              </w:rPr>
              <w:t>27%</w:t>
            </w:r>
          </w:p>
        </w:tc>
        <w:tc>
          <w:tcPr>
            <w:tcW w:type="dxa" w:w="2484"/>
          </w:tcPr>
          <w:p>
            <w:pPr>
              <w:jc w:val="right"/>
            </w:pPr>
            <w:r>
              <w:rPr>
                <w:b/>
                <w:sz w:val="18"/>
              </w:rPr>
              <w:t>46%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Incremento de +19 pp en efectividad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961500"/>
        </w:rPr>
        <w:t>3. Desglose Operativo por Psicóloga</w:t>
      </w:r>
    </w:p>
    <w:p>
      <w:r>
        <w:rPr>
          <w:b/>
          <w:color w:val="961500"/>
        </w:rPr>
        <w:t>Tabla A: Histórico Total Acumulado (All-Time)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28"/>
        <w:gridCol w:w="828"/>
        <w:gridCol w:w="828"/>
        <w:gridCol w:w="828"/>
        <w:gridCol w:w="828"/>
        <w:gridCol w:w="828"/>
        <w:gridCol w:w="828"/>
        <w:gridCol w:w="828"/>
        <w:gridCol w:w="828"/>
        <w:gridCol w:w="828"/>
        <w:gridCol w:w="828"/>
        <w:gridCol w:w="828"/>
      </w:tblGrid>
      <w:tr>
        <w:tc>
          <w:tcPr>
            <w:tcW w:type="dxa" w:w="828"/>
            <w:shd w:fill="4A0A00"/>
          </w:tcPr>
          <w:p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828"/>
            <w:shd w:fill="4A0A00"/>
          </w:tcPr>
          <w:p>
            <w:r>
              <w:rPr>
                <w:b/>
                <w:color w:val="FFFFFF"/>
                <w:sz w:val="16"/>
              </w:rPr>
              <w:t>Psicóloga</w:t>
            </w:r>
          </w:p>
        </w:tc>
        <w:tc>
          <w:tcPr>
            <w:tcW w:type="dxa" w:w="828"/>
            <w:shd w:fill="4A0A00"/>
          </w:tcPr>
          <w:p>
            <w:r>
              <w:rPr>
                <w:b/>
                <w:color w:val="FFFFFF"/>
                <w:sz w:val="16"/>
              </w:rPr>
              <w:t>Slots</w:t>
            </w:r>
          </w:p>
        </w:tc>
        <w:tc>
          <w:tcPr>
            <w:tcW w:type="dxa" w:w="828"/>
            <w:shd w:fill="4A0A00"/>
          </w:tcPr>
          <w:p>
            <w:r>
              <w:rPr>
                <w:b/>
                <w:color w:val="FFFFFF"/>
                <w:sz w:val="16"/>
              </w:rPr>
              <w:t>Listos</w:t>
            </w:r>
          </w:p>
        </w:tc>
        <w:tc>
          <w:tcPr>
            <w:tcW w:type="dxa" w:w="828"/>
            <w:shd w:fill="4A0A00"/>
          </w:tcPr>
          <w:p>
            <w:r>
              <w:rPr>
                <w:b/>
                <w:color w:val="FFFFFF"/>
                <w:sz w:val="16"/>
              </w:rPr>
              <w:t>Hechos</w:t>
            </w:r>
          </w:p>
        </w:tc>
        <w:tc>
          <w:tcPr>
            <w:tcW w:type="dxa" w:w="828"/>
            <w:shd w:fill="4A0A00"/>
          </w:tcPr>
          <w:p>
            <w:r>
              <w:rPr>
                <w:b/>
                <w:color w:val="FFFFFF"/>
                <w:sz w:val="16"/>
              </w:rPr>
              <w:t>Aprob</w:t>
            </w:r>
          </w:p>
        </w:tc>
        <w:tc>
          <w:tcPr>
            <w:tcW w:type="dxa" w:w="828"/>
            <w:shd w:fill="4A0A00"/>
          </w:tcPr>
          <w:p>
            <w:r>
              <w:rPr>
                <w:b/>
                <w:color w:val="FFFFFF"/>
                <w:sz w:val="16"/>
              </w:rPr>
              <w:t>Trouble</w:t>
            </w:r>
          </w:p>
        </w:tc>
        <w:tc>
          <w:tcPr>
            <w:tcW w:type="dxa" w:w="828"/>
            <w:shd w:fill="4A0A00"/>
          </w:tcPr>
          <w:p>
            <w:r>
              <w:rPr>
                <w:b/>
                <w:color w:val="FFFFFF"/>
                <w:sz w:val="16"/>
              </w:rPr>
              <w:t>Asig P</w:t>
            </w:r>
          </w:p>
        </w:tc>
        <w:tc>
          <w:tcPr>
            <w:tcW w:type="dxa" w:w="828"/>
            <w:shd w:fill="4A0A00"/>
          </w:tcPr>
          <w:p>
            <w:r>
              <w:rPr>
                <w:b/>
                <w:color w:val="FFFFFF"/>
                <w:sz w:val="16"/>
              </w:rPr>
              <w:t>Proc M</w:t>
            </w:r>
          </w:p>
        </w:tc>
        <w:tc>
          <w:tcPr>
            <w:tcW w:type="dxa" w:w="828"/>
            <w:shd w:fill="4A0A00"/>
          </w:tcPr>
          <w:p>
            <w:r>
              <w:rPr>
                <w:b/>
                <w:color w:val="FFFFFF"/>
                <w:sz w:val="16"/>
              </w:rPr>
              <w:t>Brecha</w:t>
            </w:r>
          </w:p>
        </w:tc>
        <w:tc>
          <w:tcPr>
            <w:tcW w:type="dxa" w:w="828"/>
            <w:shd w:fill="4A0A00"/>
          </w:tcPr>
          <w:p>
            <w:r>
              <w:rPr>
                <w:b/>
                <w:color w:val="FFFFFF"/>
                <w:sz w:val="16"/>
              </w:rPr>
              <w:t>Efic %</w:t>
            </w:r>
          </w:p>
        </w:tc>
        <w:tc>
          <w:tcPr>
            <w:tcW w:type="dxa" w:w="828"/>
            <w:shd w:fill="4A0A00"/>
          </w:tcPr>
          <w:p>
            <w:r>
              <w:rPr>
                <w:b/>
                <w:color w:val="FFFFFF"/>
                <w:sz w:val="16"/>
              </w:rPr>
              <w:t>Nivel</w:t>
            </w:r>
          </w:p>
        </w:tc>
      </w:tr>
      <w:tr>
        <w:tc>
          <w:tcPr>
            <w:tcW w:type="dxa" w:w="828"/>
            <w:shd w:fill="FFFFFF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STEFFY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420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317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72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283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166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117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75%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Alto</w:t>
            </w:r>
          </w:p>
        </w:tc>
      </w:tr>
      <w:tr>
        <w:tc>
          <w:tcPr>
            <w:tcW w:type="dxa" w:w="828"/>
            <w:shd w:fill="FFFFFF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MANU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410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293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229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209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71%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Alto</w:t>
            </w:r>
          </w:p>
        </w:tc>
      </w:tr>
      <w:tr>
        <w:tc>
          <w:tcPr>
            <w:tcW w:type="dxa" w:w="828"/>
            <w:shd w:fill="FFFFFF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ANA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328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38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207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208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159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63%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Alto</w:t>
            </w:r>
          </w:p>
        </w:tc>
      </w:tr>
      <w:tr>
        <w:tc>
          <w:tcPr>
            <w:tcW w:type="dxa" w:w="828"/>
            <w:shd w:fill="FFFFFF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SILVI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97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53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89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82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55%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Medio</w:t>
            </w:r>
          </w:p>
        </w:tc>
      </w:tr>
      <w:tr>
        <w:tc>
          <w:tcPr>
            <w:tcW w:type="dxa" w:w="828"/>
            <w:shd w:fill="FFFFFF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SOFI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348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157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150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224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188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36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45%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Medio</w:t>
            </w:r>
          </w:p>
        </w:tc>
      </w:tr>
      <w:tr>
        <w:tc>
          <w:tcPr>
            <w:tcW w:type="dxa" w:w="828"/>
            <w:shd w:fill="FFFFFF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ALEJA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339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119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125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159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156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35%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Medio</w:t>
            </w:r>
          </w:p>
        </w:tc>
      </w:tr>
      <w:tr>
        <w:tc>
          <w:tcPr>
            <w:tcW w:type="dxa" w:w="828"/>
            <w:shd w:fill="FFFFFF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JENN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765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163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128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215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196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21%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Medio</w:t>
            </w:r>
          </w:p>
        </w:tc>
      </w:tr>
      <w:tr>
        <w:tc>
          <w:tcPr>
            <w:tcW w:type="dxa" w:w="828"/>
            <w:shd w:fill="FFFFFF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PIA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16%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Bajo</w:t>
            </w:r>
          </w:p>
        </w:tc>
      </w:tr>
      <w:tr>
        <w:tc>
          <w:tcPr>
            <w:tcW w:type="dxa" w:w="828"/>
            <w:shd w:fill="FFFFFF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ISA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97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9%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Bajo</w:t>
            </w:r>
          </w:p>
        </w:tc>
      </w:tr>
      <w:tr>
        <w:tc>
          <w:tcPr>
            <w:tcW w:type="dxa" w:w="828"/>
            <w:shd w:fill="FFFFFF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MAPE D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2.794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56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221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704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257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447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8%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Bajo</w:t>
            </w:r>
          </w:p>
        </w:tc>
      </w:tr>
      <w:tr>
        <w:tc>
          <w:tcPr>
            <w:tcW w:type="dxa" w:w="828"/>
            <w:shd w:fill="F4EBEB"/>
          </w:tcPr>
          <w:p>
            <w:r>
              <w:rPr>
                <w:b/>
                <w:sz w:val="16"/>
              </w:rPr>
              <w:t>-</w:t>
            </w:r>
          </w:p>
        </w:tc>
        <w:tc>
          <w:tcPr>
            <w:tcW w:type="dxa" w:w="828"/>
            <w:shd w:fill="F4EBEB"/>
          </w:tcPr>
          <w:p>
            <w:r>
              <w:rPr>
                <w:b/>
                <w:sz w:val="16"/>
              </w:rPr>
              <w:t>TOTAL</w:t>
            </w:r>
          </w:p>
        </w:tc>
        <w:tc>
          <w:tcPr>
            <w:tcW w:type="dxa" w:w="828"/>
            <w:shd w:fill="F4EBEB"/>
          </w:tcPr>
          <w:p>
            <w:r>
              <w:rPr>
                <w:b/>
                <w:sz w:val="16"/>
              </w:rPr>
              <w:t>5.623</w:t>
            </w:r>
          </w:p>
        </w:tc>
        <w:tc>
          <w:tcPr>
            <w:tcW w:type="dxa" w:w="828"/>
            <w:shd w:fill="F4EBEB"/>
          </w:tcPr>
          <w:p>
            <w:r>
              <w:rPr>
                <w:b/>
                <w:sz w:val="16"/>
              </w:rPr>
              <w:t>112</w:t>
            </w:r>
          </w:p>
        </w:tc>
        <w:tc>
          <w:tcPr>
            <w:tcW w:type="dxa" w:w="828"/>
            <w:shd w:fill="F4EBEB"/>
          </w:tcPr>
          <w:p>
            <w:r>
              <w:rPr>
                <w:b/>
                <w:sz w:val="16"/>
              </w:rPr>
              <w:t>128</w:t>
            </w:r>
          </w:p>
        </w:tc>
        <w:tc>
          <w:tcPr>
            <w:tcW w:type="dxa" w:w="828"/>
            <w:shd w:fill="F4EBEB"/>
          </w:tcPr>
          <w:p>
            <w:r>
              <w:rPr>
                <w:b/>
                <w:sz w:val="16"/>
              </w:rPr>
              <w:t>1.543</w:t>
            </w:r>
          </w:p>
        </w:tc>
        <w:tc>
          <w:tcPr>
            <w:tcW w:type="dxa" w:w="828"/>
            <w:shd w:fill="F4EBEB"/>
          </w:tcPr>
          <w:p>
            <w:r>
              <w:rPr>
                <w:b/>
                <w:sz w:val="16"/>
              </w:rPr>
              <w:t>552</w:t>
            </w:r>
          </w:p>
        </w:tc>
        <w:tc>
          <w:tcPr>
            <w:tcW w:type="dxa" w:w="828"/>
            <w:shd w:fill="F4EBEB"/>
          </w:tcPr>
          <w:p>
            <w:r>
              <w:rPr>
                <w:b/>
                <w:sz w:val="16"/>
              </w:rPr>
              <w:t>2.137</w:t>
            </w:r>
          </w:p>
        </w:tc>
        <w:tc>
          <w:tcPr>
            <w:tcW w:type="dxa" w:w="828"/>
            <w:shd w:fill="F4EBEB"/>
          </w:tcPr>
          <w:p>
            <w:r>
              <w:rPr>
                <w:b/>
                <w:sz w:val="16"/>
              </w:rPr>
              <w:t>1.435</w:t>
            </w:r>
          </w:p>
        </w:tc>
        <w:tc>
          <w:tcPr>
            <w:tcW w:type="dxa" w:w="828"/>
            <w:shd w:fill="F4EBEB"/>
          </w:tcPr>
          <w:p>
            <w:r>
              <w:rPr>
                <w:b/>
                <w:sz w:val="16"/>
              </w:rPr>
              <w:t>702</w:t>
            </w:r>
          </w:p>
        </w:tc>
        <w:tc>
          <w:tcPr>
            <w:tcW w:type="dxa" w:w="828"/>
            <w:shd w:fill="F4EBEB"/>
          </w:tcPr>
          <w:p>
            <w:r>
              <w:rPr>
                <w:b/>
                <w:sz w:val="16"/>
              </w:rPr>
              <w:t>27%</w:t>
            </w:r>
          </w:p>
        </w:tc>
        <w:tc>
          <w:tcPr>
            <w:tcW w:type="dxa" w:w="828"/>
            <w:shd w:fill="F4EBEB"/>
          </w:tcPr>
          <w:p>
            <w:r>
              <w:rPr>
                <w:b/>
                <w:sz w:val="16"/>
              </w:rPr>
              <w:t>Medio</w:t>
            </w:r>
          </w:p>
        </w:tc>
      </w:tr>
    </w:tbl>
    <w:p>
      <w:pPr>
        <w:spacing w:after="200"/>
      </w:pPr>
    </w:p>
    <w:p>
      <w:r>
        <w:rPr>
          <w:b/>
          <w:color w:val="961500"/>
        </w:rPr>
        <w:t>Tabla B: Período Reciente (Desde el 1 de Julio de 2026 a la fecha)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28"/>
        <w:gridCol w:w="828"/>
        <w:gridCol w:w="828"/>
        <w:gridCol w:w="828"/>
        <w:gridCol w:w="828"/>
        <w:gridCol w:w="828"/>
        <w:gridCol w:w="828"/>
        <w:gridCol w:w="828"/>
        <w:gridCol w:w="828"/>
        <w:gridCol w:w="828"/>
        <w:gridCol w:w="828"/>
        <w:gridCol w:w="828"/>
      </w:tblGrid>
      <w:tr>
        <w:tc>
          <w:tcPr>
            <w:tcW w:type="dxa" w:w="828"/>
            <w:shd w:fill="961500"/>
          </w:tcPr>
          <w:p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828"/>
            <w:shd w:fill="961500"/>
          </w:tcPr>
          <w:p>
            <w:r>
              <w:rPr>
                <w:b/>
                <w:color w:val="FFFFFF"/>
                <w:sz w:val="16"/>
              </w:rPr>
              <w:t>Psicóloga</w:t>
            </w:r>
          </w:p>
        </w:tc>
        <w:tc>
          <w:tcPr>
            <w:tcW w:type="dxa" w:w="828"/>
            <w:shd w:fill="961500"/>
          </w:tcPr>
          <w:p>
            <w:r>
              <w:rPr>
                <w:b/>
                <w:color w:val="FFFFFF"/>
                <w:sz w:val="16"/>
              </w:rPr>
              <w:t>Slots</w:t>
            </w:r>
          </w:p>
        </w:tc>
        <w:tc>
          <w:tcPr>
            <w:tcW w:type="dxa" w:w="828"/>
            <w:shd w:fill="961500"/>
          </w:tcPr>
          <w:p>
            <w:r>
              <w:rPr>
                <w:b/>
                <w:color w:val="FFFFFF"/>
                <w:sz w:val="16"/>
              </w:rPr>
              <w:t>Listos</w:t>
            </w:r>
          </w:p>
        </w:tc>
        <w:tc>
          <w:tcPr>
            <w:tcW w:type="dxa" w:w="828"/>
            <w:shd w:fill="961500"/>
          </w:tcPr>
          <w:p>
            <w:r>
              <w:rPr>
                <w:b/>
                <w:color w:val="FFFFFF"/>
                <w:sz w:val="16"/>
              </w:rPr>
              <w:t>Hechos</w:t>
            </w:r>
          </w:p>
        </w:tc>
        <w:tc>
          <w:tcPr>
            <w:tcW w:type="dxa" w:w="828"/>
            <w:shd w:fill="961500"/>
          </w:tcPr>
          <w:p>
            <w:r>
              <w:rPr>
                <w:b/>
                <w:color w:val="FFFFFF"/>
                <w:sz w:val="16"/>
              </w:rPr>
              <w:t>Aprob</w:t>
            </w:r>
          </w:p>
        </w:tc>
        <w:tc>
          <w:tcPr>
            <w:tcW w:type="dxa" w:w="828"/>
            <w:shd w:fill="961500"/>
          </w:tcPr>
          <w:p>
            <w:r>
              <w:rPr>
                <w:b/>
                <w:color w:val="FFFFFF"/>
                <w:sz w:val="16"/>
              </w:rPr>
              <w:t>Trouble</w:t>
            </w:r>
          </w:p>
        </w:tc>
        <w:tc>
          <w:tcPr>
            <w:tcW w:type="dxa" w:w="828"/>
            <w:shd w:fill="961500"/>
          </w:tcPr>
          <w:p>
            <w:r>
              <w:rPr>
                <w:b/>
                <w:color w:val="FFFFFF"/>
                <w:sz w:val="16"/>
              </w:rPr>
              <w:t>Asig P</w:t>
            </w:r>
          </w:p>
        </w:tc>
        <w:tc>
          <w:tcPr>
            <w:tcW w:type="dxa" w:w="828"/>
            <w:shd w:fill="961500"/>
          </w:tcPr>
          <w:p>
            <w:r>
              <w:rPr>
                <w:b/>
                <w:color w:val="FFFFFF"/>
                <w:sz w:val="16"/>
              </w:rPr>
              <w:t>Proc M</w:t>
            </w:r>
          </w:p>
        </w:tc>
        <w:tc>
          <w:tcPr>
            <w:tcW w:type="dxa" w:w="828"/>
            <w:shd w:fill="961500"/>
          </w:tcPr>
          <w:p>
            <w:r>
              <w:rPr>
                <w:b/>
                <w:color w:val="FFFFFF"/>
                <w:sz w:val="16"/>
              </w:rPr>
              <w:t>Brecha</w:t>
            </w:r>
          </w:p>
        </w:tc>
        <w:tc>
          <w:tcPr>
            <w:tcW w:type="dxa" w:w="828"/>
            <w:shd w:fill="961500"/>
          </w:tcPr>
          <w:p>
            <w:r>
              <w:rPr>
                <w:b/>
                <w:color w:val="FFFFFF"/>
                <w:sz w:val="16"/>
              </w:rPr>
              <w:t>Efic %</w:t>
            </w:r>
          </w:p>
        </w:tc>
        <w:tc>
          <w:tcPr>
            <w:tcW w:type="dxa" w:w="828"/>
            <w:shd w:fill="961500"/>
          </w:tcPr>
          <w:p>
            <w:r>
              <w:rPr>
                <w:b/>
                <w:color w:val="FFFFFF"/>
                <w:sz w:val="16"/>
              </w:rPr>
              <w:t>Nivel</w:t>
            </w:r>
          </w:p>
        </w:tc>
      </w:tr>
      <w:tr>
        <w:tc>
          <w:tcPr>
            <w:tcW w:type="dxa" w:w="828"/>
            <w:shd w:fill="FFFFFF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SILVI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56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36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53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64%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Alto</w:t>
            </w:r>
          </w:p>
        </w:tc>
      </w:tr>
      <w:tr>
        <w:tc>
          <w:tcPr>
            <w:tcW w:type="dxa" w:w="828"/>
            <w:shd w:fill="FFFFFF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ANA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135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34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85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80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79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63%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Alto</w:t>
            </w:r>
          </w:p>
        </w:tc>
      </w:tr>
      <w:tr>
        <w:tc>
          <w:tcPr>
            <w:tcW w:type="dxa" w:w="828"/>
            <w:shd w:fill="FFFFFF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STEFFY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79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57%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Medio</w:t>
            </w:r>
          </w:p>
        </w:tc>
      </w:tr>
      <w:tr>
        <w:tc>
          <w:tcPr>
            <w:tcW w:type="dxa" w:w="828"/>
            <w:shd w:fill="FFFFFF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JENN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126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53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34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53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53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42%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Medio</w:t>
            </w:r>
          </w:p>
        </w:tc>
      </w:tr>
      <w:tr>
        <w:tc>
          <w:tcPr>
            <w:tcW w:type="dxa" w:w="828"/>
            <w:shd w:fill="FFFFFF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SOFI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93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37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41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54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40%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Medio</w:t>
            </w:r>
          </w:p>
        </w:tc>
      </w:tr>
      <w:tr>
        <w:tc>
          <w:tcPr>
            <w:tcW w:type="dxa" w:w="828"/>
            <w:shd w:fill="FFFFFF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MAPE D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117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37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81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67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32%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Medio</w:t>
            </w:r>
          </w:p>
        </w:tc>
      </w:tr>
      <w:tr>
        <w:tc>
          <w:tcPr>
            <w:tcW w:type="dxa" w:w="828"/>
            <w:shd w:fill="FFFFFF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ALEJA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56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36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30%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Medio</w:t>
            </w:r>
          </w:p>
        </w:tc>
      </w:tr>
      <w:tr>
        <w:tc>
          <w:tcPr>
            <w:tcW w:type="dxa" w:w="828"/>
            <w:shd w:fill="FFFFFF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PIA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0%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Bajo</w:t>
            </w:r>
          </w:p>
        </w:tc>
      </w:tr>
      <w:tr>
        <w:tc>
          <w:tcPr>
            <w:tcW w:type="dxa" w:w="828"/>
            <w:shd w:fill="FFFFFF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ISA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0%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Bajo</w:t>
            </w:r>
          </w:p>
        </w:tc>
      </w:tr>
      <w:tr>
        <w:tc>
          <w:tcPr>
            <w:tcW w:type="dxa" w:w="828"/>
            <w:shd w:fill="FFFFFF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MANU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0%</w:t>
            </w:r>
          </w:p>
        </w:tc>
        <w:tc>
          <w:tcPr>
            <w:tcW w:type="dxa" w:w="828"/>
            <w:shd w:fill="FFFFFF"/>
          </w:tcPr>
          <w:p>
            <w:r>
              <w:rPr>
                <w:sz w:val="16"/>
              </w:rPr>
              <w:t>Bajo</w:t>
            </w:r>
          </w:p>
        </w:tc>
      </w:tr>
      <w:tr>
        <w:tc>
          <w:tcPr>
            <w:tcW w:type="dxa" w:w="828"/>
            <w:shd w:fill="F4EBEB"/>
          </w:tcPr>
          <w:p>
            <w:r>
              <w:rPr>
                <w:b/>
                <w:sz w:val="16"/>
              </w:rPr>
              <w:t>-</w:t>
            </w:r>
          </w:p>
        </w:tc>
        <w:tc>
          <w:tcPr>
            <w:tcW w:type="dxa" w:w="828"/>
            <w:shd w:fill="F4EBEB"/>
          </w:tcPr>
          <w:p>
            <w:r>
              <w:rPr>
                <w:b/>
                <w:sz w:val="16"/>
              </w:rPr>
              <w:t>TOTAL</w:t>
            </w:r>
          </w:p>
        </w:tc>
        <w:tc>
          <w:tcPr>
            <w:tcW w:type="dxa" w:w="828"/>
            <w:shd w:fill="F4EBEB"/>
          </w:tcPr>
          <w:p>
            <w:r>
              <w:rPr>
                <w:b/>
                <w:sz w:val="16"/>
              </w:rPr>
              <w:t>636</w:t>
            </w:r>
          </w:p>
        </w:tc>
        <w:tc>
          <w:tcPr>
            <w:tcW w:type="dxa" w:w="828"/>
            <w:shd w:fill="F4EBEB"/>
          </w:tcPr>
          <w:p>
            <w:r>
              <w:rPr>
                <w:b/>
                <w:sz w:val="16"/>
              </w:rPr>
              <w:t>5</w:t>
            </w:r>
          </w:p>
        </w:tc>
        <w:tc>
          <w:tcPr>
            <w:tcW w:type="dxa" w:w="828"/>
            <w:shd w:fill="F4EBEB"/>
          </w:tcPr>
          <w:p>
            <w:r>
              <w:rPr>
                <w:b/>
                <w:sz w:val="16"/>
              </w:rPr>
              <w:t>76</w:t>
            </w:r>
          </w:p>
        </w:tc>
        <w:tc>
          <w:tcPr>
            <w:tcW w:type="dxa" w:w="828"/>
            <w:shd w:fill="F4EBEB"/>
          </w:tcPr>
          <w:p>
            <w:r>
              <w:rPr>
                <w:b/>
                <w:sz w:val="16"/>
              </w:rPr>
              <w:t>291</w:t>
            </w:r>
          </w:p>
        </w:tc>
        <w:tc>
          <w:tcPr>
            <w:tcW w:type="dxa" w:w="828"/>
            <w:shd w:fill="F4EBEB"/>
          </w:tcPr>
          <w:p>
            <w:r>
              <w:rPr>
                <w:b/>
                <w:sz w:val="16"/>
              </w:rPr>
              <w:t>153</w:t>
            </w:r>
          </w:p>
        </w:tc>
        <w:tc>
          <w:tcPr>
            <w:tcW w:type="dxa" w:w="828"/>
            <w:shd w:fill="F4EBEB"/>
          </w:tcPr>
          <w:p>
            <w:r>
              <w:rPr>
                <w:b/>
                <w:sz w:val="16"/>
              </w:rPr>
              <w:t>465</w:t>
            </w:r>
          </w:p>
        </w:tc>
        <w:tc>
          <w:tcPr>
            <w:tcW w:type="dxa" w:w="828"/>
            <w:shd w:fill="F4EBEB"/>
          </w:tcPr>
          <w:p>
            <w:r>
              <w:rPr>
                <w:b/>
                <w:sz w:val="16"/>
              </w:rPr>
              <w:t>392</w:t>
            </w:r>
          </w:p>
        </w:tc>
        <w:tc>
          <w:tcPr>
            <w:tcW w:type="dxa" w:w="828"/>
            <w:shd w:fill="F4EBEB"/>
          </w:tcPr>
          <w:p>
            <w:r>
              <w:rPr>
                <w:b/>
                <w:sz w:val="16"/>
              </w:rPr>
              <w:t>73</w:t>
            </w:r>
          </w:p>
        </w:tc>
        <w:tc>
          <w:tcPr>
            <w:tcW w:type="dxa" w:w="828"/>
            <w:shd w:fill="F4EBEB"/>
          </w:tcPr>
          <w:p>
            <w:r>
              <w:rPr>
                <w:b/>
                <w:sz w:val="16"/>
              </w:rPr>
              <w:t>46%</w:t>
            </w:r>
          </w:p>
        </w:tc>
        <w:tc>
          <w:tcPr>
            <w:tcW w:type="dxa" w:w="828"/>
            <w:shd w:fill="F4EBEB"/>
          </w:tcPr>
          <w:p>
            <w:r>
              <w:rPr>
                <w:b/>
                <w:sz w:val="16"/>
              </w:rPr>
              <w:t>Medio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color w:val="961500"/>
        </w:rPr>
        <w:t>4. Diagnóstico y Plan de Acción Inmediato</w:t>
      </w:r>
    </w:p>
    <w:p>
      <w:r>
        <w:rPr>
          <w:b/>
        </w:rPr>
        <w:t xml:space="preserve">1. Cuello de botella identificado en Steffy: </w:t>
      </w:r>
      <w:r>
        <w:t>Steffy concentra 47 de los 73 clientes sin trabajar del trimestre (el 64.4%). Su calidad de match es muy alta (57% de efectividad), pero presenta un fuerte retraso en la carga inicial de slots para sus 79 asignaciones recibidas.</w:t>
        <w:br/>
        <w:br/>
      </w:r>
      <w:r>
        <w:rPr>
          <w:b/>
        </w:rPr>
        <w:t xml:space="preserve">2. Excelencia operativa en Silvi y Ana: </w:t>
      </w:r>
      <w:r>
        <w:t>Ana es el motor de volumen con 135 slots y 85 aprobados (63% de eficiencia, brecha de solo 1 cliente). Silvi lidera la efectividad con 64% de conversión.</w:t>
        <w:br/>
        <w:br/>
      </w:r>
      <w:r>
        <w:rPr>
          <w:b/>
        </w:rPr>
        <w:t xml:space="preserve">3. Casos con Brecha Cero: </w:t>
      </w:r>
      <w:r>
        <w:t>Jenn (53/53), Aleja (49/49) e Isa (7/7) han procesado el 100% de los clientes asignados en el período.</w:t>
        <w:br/>
        <w:br/>
      </w:r>
      <w:r>
        <w:rPr>
          <w:b/>
        </w:rPr>
        <w:t xml:space="preserve">4. Recomendación de Supervisión: </w:t>
      </w:r>
      <w:r>
        <w:t>Configurar por defecto el Panel de Supervisión para que filtre automáticamente a partir del 1 de julio de 2026, evitando que las decisiones operativas se basen en históricos distorsionados.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