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FE6E6" w14:textId="52587DB4" w:rsidR="00057ECE" w:rsidRPr="00DF48A3" w:rsidRDefault="00DF48A3" w:rsidP="00517E13">
      <w:pPr>
        <w:spacing w:line="240" w:lineRule="auto"/>
        <w:jc w:val="center"/>
        <w:rPr>
          <w:rFonts w:ascii="Arial" w:hAnsi="Arial" w:cs="Arial"/>
          <w:b/>
          <w:bCs/>
          <w:sz w:val="24"/>
          <w:szCs w:val="24"/>
          <w:lang w:val="es-MX"/>
        </w:rPr>
      </w:pPr>
      <w:r w:rsidRPr="00DF48A3">
        <w:rPr>
          <w:rFonts w:ascii="Arial" w:hAnsi="Arial" w:cs="Arial"/>
          <w:b/>
          <w:bCs/>
          <w:sz w:val="24"/>
          <w:szCs w:val="24"/>
          <w:lang w:val="es-MX"/>
        </w:rPr>
        <w:t>BOLETÍN BASES DE DATOS ADRES</w:t>
      </w:r>
    </w:p>
    <w:p w14:paraId="652B577F" w14:textId="77777777" w:rsidR="00647061" w:rsidRDefault="00647061" w:rsidP="00517E13">
      <w:pPr>
        <w:spacing w:line="240" w:lineRule="auto"/>
        <w:rPr>
          <w:rFonts w:ascii="Arial" w:hAnsi="Arial" w:cs="Arial"/>
          <w:sz w:val="24"/>
          <w:szCs w:val="24"/>
          <w:lang w:val="es-MX"/>
        </w:rPr>
        <w:sectPr w:rsidR="00647061" w:rsidSect="008A6FA7">
          <w:type w:val="continuous"/>
          <w:pgSz w:w="12240" w:h="15840" w:code="122"/>
          <w:pgMar w:top="851" w:right="851" w:bottom="851" w:left="851" w:header="709" w:footer="709" w:gutter="0"/>
          <w:cols w:space="708"/>
          <w:docGrid w:linePitch="360"/>
        </w:sectPr>
      </w:pPr>
    </w:p>
    <w:p w14:paraId="14ABEDA3" w14:textId="2F8D921E" w:rsidR="008B670A" w:rsidRDefault="008B670A" w:rsidP="00517E13">
      <w:pPr>
        <w:spacing w:line="240" w:lineRule="auto"/>
        <w:rPr>
          <w:rFonts w:ascii="Arial" w:hAnsi="Arial" w:cs="Arial"/>
          <w:sz w:val="24"/>
          <w:szCs w:val="24"/>
          <w:lang w:val="es-MX"/>
        </w:rPr>
      </w:pPr>
    </w:p>
    <w:tbl>
      <w:tblPr>
        <w:tblStyle w:val="Tablaconcuadrcula"/>
        <w:tblW w:w="10528" w:type="dxa"/>
        <w:tblLook w:val="04A0" w:firstRow="1" w:lastRow="0" w:firstColumn="1" w:lastColumn="0" w:noHBand="0" w:noVBand="1"/>
      </w:tblPr>
      <w:tblGrid>
        <w:gridCol w:w="3804"/>
        <w:gridCol w:w="1154"/>
        <w:gridCol w:w="216"/>
        <w:gridCol w:w="1823"/>
        <w:gridCol w:w="3531"/>
      </w:tblGrid>
      <w:tr w:rsidR="008A6FA7" w14:paraId="30406F55" w14:textId="77777777" w:rsidTr="008A6FA7">
        <w:trPr>
          <w:trHeight w:val="4937"/>
        </w:trPr>
        <w:tc>
          <w:tcPr>
            <w:tcW w:w="5143" w:type="dxa"/>
            <w:gridSpan w:val="3"/>
          </w:tcPr>
          <w:p w14:paraId="5E7E6708" w14:textId="00B257D6" w:rsidR="00647061" w:rsidRPr="006535C4" w:rsidRDefault="00AB35AD" w:rsidP="00517E13">
            <w:pPr>
              <w:jc w:val="center"/>
              <w:rPr>
                <w:rFonts w:ascii="Arial" w:hAnsi="Arial" w:cs="Arial"/>
                <w:b/>
                <w:bCs/>
                <w:noProof/>
                <w:sz w:val="24"/>
                <w:szCs w:val="24"/>
              </w:rPr>
            </w:pPr>
            <w:r w:rsidRPr="006535C4">
              <w:rPr>
                <w:rFonts w:ascii="Arial" w:hAnsi="Arial" w:cs="Arial"/>
                <w:b/>
                <w:bCs/>
                <w:noProof/>
                <w:sz w:val="24"/>
                <w:szCs w:val="24"/>
              </w:rPr>
              <w:t xml:space="preserve">Gráfico </w:t>
            </w:r>
            <w:r w:rsidR="006535C4" w:rsidRPr="006535C4">
              <w:rPr>
                <w:rFonts w:ascii="Arial" w:hAnsi="Arial" w:cs="Arial"/>
                <w:b/>
                <w:bCs/>
                <w:noProof/>
                <w:sz w:val="24"/>
                <w:szCs w:val="24"/>
              </w:rPr>
              <w:t>variables relación y distrubución de las variables usadas</w:t>
            </w:r>
          </w:p>
          <w:p w14:paraId="446A850C" w14:textId="3243786C" w:rsidR="00DF48A3" w:rsidRDefault="00DF48A3" w:rsidP="00517E13">
            <w:pPr>
              <w:rPr>
                <w:rFonts w:ascii="Arial" w:hAnsi="Arial" w:cs="Arial"/>
                <w:sz w:val="24"/>
                <w:szCs w:val="24"/>
                <w:lang w:val="es-MX"/>
              </w:rPr>
            </w:pPr>
            <w:r>
              <w:rPr>
                <w:noProof/>
              </w:rPr>
              <w:drawing>
                <wp:inline distT="0" distB="0" distL="0" distR="0" wp14:anchorId="616F8AE5" wp14:editId="33500612">
                  <wp:extent cx="3132814" cy="25044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2795" cy="2552390"/>
                          </a:xfrm>
                          <a:prstGeom prst="rect">
                            <a:avLst/>
                          </a:prstGeom>
                        </pic:spPr>
                      </pic:pic>
                    </a:graphicData>
                  </a:graphic>
                </wp:inline>
              </w:drawing>
            </w:r>
          </w:p>
        </w:tc>
        <w:tc>
          <w:tcPr>
            <w:tcW w:w="5385" w:type="dxa"/>
            <w:gridSpan w:val="2"/>
          </w:tcPr>
          <w:p w14:paraId="429BA5B9" w14:textId="77777777" w:rsidR="00503265" w:rsidRDefault="00503265" w:rsidP="00517E13">
            <w:pPr>
              <w:jc w:val="both"/>
              <w:rPr>
                <w:rFonts w:ascii="Arial" w:hAnsi="Arial" w:cs="Arial"/>
                <w:sz w:val="24"/>
                <w:szCs w:val="24"/>
                <w:lang w:val="es-MX"/>
              </w:rPr>
            </w:pPr>
          </w:p>
          <w:p w14:paraId="123EEC7B" w14:textId="3F15CE64" w:rsidR="00647061" w:rsidRDefault="00DF48A3" w:rsidP="00517E13">
            <w:pPr>
              <w:jc w:val="both"/>
              <w:rPr>
                <w:rFonts w:ascii="Arial" w:hAnsi="Arial" w:cs="Arial"/>
                <w:sz w:val="24"/>
                <w:szCs w:val="24"/>
                <w:lang w:val="es-MX"/>
              </w:rPr>
            </w:pPr>
            <w:r>
              <w:rPr>
                <w:rFonts w:ascii="Arial" w:hAnsi="Arial" w:cs="Arial"/>
                <w:sz w:val="24"/>
                <w:szCs w:val="24"/>
                <w:lang w:val="es-MX"/>
              </w:rPr>
              <w:t xml:space="preserve">En las bases de datos se encontró que se contaban con varias variables relacionadas a radicaciones de servicios prestados por una entidad. </w:t>
            </w:r>
          </w:p>
          <w:p w14:paraId="706BB576" w14:textId="77777777" w:rsidR="00DF48A3" w:rsidRDefault="00DF48A3" w:rsidP="00517E13">
            <w:pPr>
              <w:jc w:val="both"/>
              <w:rPr>
                <w:rFonts w:ascii="Arial" w:hAnsi="Arial" w:cs="Arial"/>
                <w:sz w:val="24"/>
                <w:szCs w:val="24"/>
                <w:lang w:val="es-MX"/>
              </w:rPr>
            </w:pPr>
            <w:r>
              <w:rPr>
                <w:rFonts w:ascii="Arial" w:hAnsi="Arial" w:cs="Arial"/>
                <w:sz w:val="24"/>
                <w:szCs w:val="24"/>
                <w:lang w:val="es-MX"/>
              </w:rPr>
              <w:t xml:space="preserve">En el presente ejercicio, se procedió a tomar en cuenta las variables nombres de departamentos, nombres del clpr, clase de persona, nombre naju, región y la diferencia de días entre la fecha de radicación del caso y la fecha de vencimiento del mismo. </w:t>
            </w:r>
          </w:p>
          <w:p w14:paraId="457EE5BD" w14:textId="4EC68DE7" w:rsidR="00DF48A3" w:rsidRDefault="00DF48A3" w:rsidP="00517E13">
            <w:pPr>
              <w:jc w:val="both"/>
              <w:rPr>
                <w:rFonts w:ascii="Arial" w:hAnsi="Arial" w:cs="Arial"/>
                <w:sz w:val="24"/>
                <w:szCs w:val="24"/>
                <w:lang w:val="es-MX"/>
              </w:rPr>
            </w:pPr>
            <w:r>
              <w:rPr>
                <w:rFonts w:ascii="Arial" w:hAnsi="Arial" w:cs="Arial"/>
                <w:sz w:val="24"/>
                <w:szCs w:val="24"/>
                <w:lang w:val="es-MX"/>
              </w:rPr>
              <w:t xml:space="preserve">Acá lo que se realizó fue un análisis descriptivo de las variables mencionadas para luego realizar un análisis multivariado para observar la relación que tenían las diferentes variables entre sí. </w:t>
            </w:r>
          </w:p>
        </w:tc>
      </w:tr>
      <w:tr w:rsidR="008A6FA7" w14:paraId="2ABFC86F" w14:textId="77777777" w:rsidTr="008A6FA7">
        <w:trPr>
          <w:trHeight w:val="4078"/>
        </w:trPr>
        <w:tc>
          <w:tcPr>
            <w:tcW w:w="4927" w:type="dxa"/>
            <w:gridSpan w:val="2"/>
          </w:tcPr>
          <w:p w14:paraId="0761696A" w14:textId="77777777" w:rsidR="00503265" w:rsidRDefault="00503265" w:rsidP="00517E13">
            <w:pPr>
              <w:jc w:val="both"/>
              <w:rPr>
                <w:rFonts w:ascii="Arial" w:hAnsi="Arial" w:cs="Arial"/>
                <w:sz w:val="24"/>
                <w:szCs w:val="24"/>
                <w:lang w:val="es-MX"/>
              </w:rPr>
            </w:pPr>
          </w:p>
          <w:p w14:paraId="5DAB6E06" w14:textId="3E7AC842" w:rsidR="00647061" w:rsidRDefault="00DF48A3" w:rsidP="00517E13">
            <w:pPr>
              <w:jc w:val="both"/>
              <w:rPr>
                <w:rFonts w:ascii="Arial" w:hAnsi="Arial" w:cs="Arial"/>
                <w:sz w:val="24"/>
                <w:szCs w:val="24"/>
                <w:lang w:val="es-MX"/>
              </w:rPr>
            </w:pPr>
            <w:r>
              <w:rPr>
                <w:rFonts w:ascii="Arial" w:hAnsi="Arial" w:cs="Arial"/>
                <w:sz w:val="24"/>
                <w:szCs w:val="24"/>
                <w:lang w:val="es-MX"/>
              </w:rPr>
              <w:t xml:space="preserve">Revisando la variable de diferencia de días entre la fecha de radicación y la fecha de vencimiento, se observó que por la mayoría de casos tenían 1957 días o menos días para dar solución al caso, por lo cual se evidencia que la organización cuenta con gran cantidad de días para poder solución a las solicitudes de los clientes y de lo cual se infiere que la base de datos es una correspondiente a servicios que requieren grandes recursos económicos y financieros dentro del core de sus labores. </w:t>
            </w:r>
          </w:p>
        </w:tc>
        <w:tc>
          <w:tcPr>
            <w:tcW w:w="5601" w:type="dxa"/>
            <w:gridSpan w:val="3"/>
          </w:tcPr>
          <w:p w14:paraId="4AC68051" w14:textId="3EC74CB2" w:rsidR="00647061" w:rsidRPr="006535C4" w:rsidRDefault="006535C4" w:rsidP="00517E13">
            <w:pPr>
              <w:jc w:val="center"/>
              <w:rPr>
                <w:rFonts w:ascii="Arial" w:hAnsi="Arial" w:cs="Arial"/>
                <w:b/>
                <w:bCs/>
                <w:sz w:val="24"/>
                <w:szCs w:val="24"/>
                <w:lang w:val="es-MX"/>
              </w:rPr>
            </w:pPr>
            <w:r w:rsidRPr="006535C4">
              <w:rPr>
                <w:rFonts w:ascii="Arial" w:hAnsi="Arial" w:cs="Arial"/>
                <w:b/>
                <w:bCs/>
                <w:sz w:val="24"/>
                <w:szCs w:val="24"/>
                <w:lang w:val="es-MX"/>
              </w:rPr>
              <w:t>Gráfico de la diferencia de días por intervalos</w:t>
            </w:r>
          </w:p>
          <w:p w14:paraId="14A8CCA6" w14:textId="705B57B5" w:rsidR="00DF48A3" w:rsidRDefault="00DF48A3" w:rsidP="00517E13">
            <w:pPr>
              <w:jc w:val="right"/>
              <w:rPr>
                <w:rFonts w:ascii="Arial" w:hAnsi="Arial" w:cs="Arial"/>
                <w:sz w:val="24"/>
                <w:szCs w:val="24"/>
                <w:lang w:val="es-MX"/>
              </w:rPr>
            </w:pPr>
            <w:r>
              <w:rPr>
                <w:noProof/>
              </w:rPr>
              <w:drawing>
                <wp:inline distT="0" distB="0" distL="0" distR="0" wp14:anchorId="7B40C119" wp14:editId="75509FDF">
                  <wp:extent cx="3439795" cy="1808703"/>
                  <wp:effectExtent l="0" t="0" r="825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4944" cy="1879767"/>
                          </a:xfrm>
                          <a:prstGeom prst="rect">
                            <a:avLst/>
                          </a:prstGeom>
                        </pic:spPr>
                      </pic:pic>
                    </a:graphicData>
                  </a:graphic>
                </wp:inline>
              </w:drawing>
            </w:r>
          </w:p>
        </w:tc>
      </w:tr>
      <w:tr w:rsidR="008A6FA7" w14:paraId="49B17A4F" w14:textId="3FE708CF" w:rsidTr="008A6FA7">
        <w:tc>
          <w:tcPr>
            <w:tcW w:w="3749" w:type="dxa"/>
          </w:tcPr>
          <w:p w14:paraId="6CA87CB8" w14:textId="5496E524" w:rsidR="00647061" w:rsidRPr="006535C4" w:rsidRDefault="006535C4" w:rsidP="00517E13">
            <w:pPr>
              <w:rPr>
                <w:rFonts w:ascii="Arial" w:hAnsi="Arial" w:cs="Arial"/>
                <w:b/>
                <w:bCs/>
                <w:noProof/>
                <w:sz w:val="24"/>
                <w:szCs w:val="24"/>
              </w:rPr>
            </w:pPr>
            <w:r w:rsidRPr="006535C4">
              <w:rPr>
                <w:rFonts w:ascii="Arial" w:hAnsi="Arial" w:cs="Arial"/>
                <w:b/>
                <w:bCs/>
                <w:noProof/>
                <w:sz w:val="24"/>
                <w:szCs w:val="24"/>
              </w:rPr>
              <w:t>Gráfico distribución por departamentos</w:t>
            </w:r>
          </w:p>
          <w:p w14:paraId="63763A8F" w14:textId="0F1C2E8B" w:rsidR="00DF48A3" w:rsidRDefault="00DF48A3" w:rsidP="00517E13">
            <w:pPr>
              <w:rPr>
                <w:rFonts w:ascii="Arial" w:hAnsi="Arial" w:cs="Arial"/>
                <w:sz w:val="24"/>
                <w:szCs w:val="24"/>
                <w:lang w:val="es-MX"/>
              </w:rPr>
            </w:pPr>
            <w:r>
              <w:rPr>
                <w:noProof/>
              </w:rPr>
              <w:drawing>
                <wp:inline distT="0" distB="0" distL="0" distR="0" wp14:anchorId="47324983" wp14:editId="6F3AF736">
                  <wp:extent cx="2313675" cy="1630045"/>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2876" cy="1671754"/>
                          </a:xfrm>
                          <a:prstGeom prst="rect">
                            <a:avLst/>
                          </a:prstGeom>
                        </pic:spPr>
                      </pic:pic>
                    </a:graphicData>
                  </a:graphic>
                </wp:inline>
              </w:drawing>
            </w:r>
          </w:p>
        </w:tc>
        <w:tc>
          <w:tcPr>
            <w:tcW w:w="3476" w:type="dxa"/>
            <w:gridSpan w:val="3"/>
          </w:tcPr>
          <w:p w14:paraId="53072792" w14:textId="6F3A9E48" w:rsidR="00647061" w:rsidRPr="00503265" w:rsidRDefault="00DF48A3" w:rsidP="00517E13">
            <w:pPr>
              <w:jc w:val="both"/>
              <w:rPr>
                <w:rFonts w:ascii="Arial" w:hAnsi="Arial" w:cs="Arial"/>
                <w:sz w:val="24"/>
                <w:szCs w:val="24"/>
              </w:rPr>
            </w:pPr>
            <w:r w:rsidRPr="00503265">
              <w:rPr>
                <w:rFonts w:ascii="Arial" w:hAnsi="Arial" w:cs="Arial"/>
                <w:sz w:val="24"/>
                <w:szCs w:val="24"/>
              </w:rPr>
              <w:t xml:space="preserve">Revisando la distribución componente de la base de datos se evidenció que aproximadamente la mitad correspondía a </w:t>
            </w:r>
            <w:r w:rsidR="00F85E1B" w:rsidRPr="00503265">
              <w:rPr>
                <w:rFonts w:ascii="Arial" w:hAnsi="Arial" w:cs="Arial"/>
                <w:sz w:val="24"/>
                <w:szCs w:val="24"/>
              </w:rPr>
              <w:t xml:space="preserve">la ciudad de Bogotá y los departamentos de Antioquia y Valle del Cauca e igualmente observando la distribución por zonas se evidencia que la zona de mayor participación es la región centro oriente con un 38.5% </w:t>
            </w:r>
          </w:p>
        </w:tc>
        <w:tc>
          <w:tcPr>
            <w:tcW w:w="3303" w:type="dxa"/>
          </w:tcPr>
          <w:p w14:paraId="21B4029D" w14:textId="66E26B18" w:rsidR="00647061" w:rsidRPr="006535C4" w:rsidRDefault="006535C4" w:rsidP="00517E13">
            <w:pPr>
              <w:jc w:val="center"/>
              <w:rPr>
                <w:rFonts w:ascii="Arial" w:hAnsi="Arial" w:cs="Arial"/>
                <w:b/>
                <w:bCs/>
                <w:noProof/>
                <w:sz w:val="24"/>
                <w:szCs w:val="24"/>
              </w:rPr>
            </w:pPr>
            <w:r w:rsidRPr="006535C4">
              <w:rPr>
                <w:rFonts w:ascii="Arial" w:hAnsi="Arial" w:cs="Arial"/>
                <w:b/>
                <w:bCs/>
                <w:noProof/>
                <w:sz w:val="24"/>
                <w:szCs w:val="24"/>
              </w:rPr>
              <w:t>Gráfico distribución por zonas</w:t>
            </w:r>
          </w:p>
          <w:p w14:paraId="1D49B462" w14:textId="5D8C457A" w:rsidR="00DF48A3" w:rsidRDefault="00F85E1B" w:rsidP="00517E13">
            <w:pPr>
              <w:jc w:val="right"/>
            </w:pPr>
            <w:r>
              <w:rPr>
                <w:noProof/>
              </w:rPr>
              <w:drawing>
                <wp:inline distT="0" distB="0" distL="0" distR="0" wp14:anchorId="695244FD" wp14:editId="5FF019EC">
                  <wp:extent cx="2137499" cy="1633180"/>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4720" cy="1646338"/>
                          </a:xfrm>
                          <a:prstGeom prst="rect">
                            <a:avLst/>
                          </a:prstGeom>
                        </pic:spPr>
                      </pic:pic>
                    </a:graphicData>
                  </a:graphic>
                </wp:inline>
              </w:drawing>
            </w:r>
          </w:p>
        </w:tc>
      </w:tr>
    </w:tbl>
    <w:p w14:paraId="0D6D90AC" w14:textId="77777777" w:rsidR="008B670A" w:rsidRDefault="008B670A" w:rsidP="00517E13">
      <w:pPr>
        <w:spacing w:line="240" w:lineRule="auto"/>
        <w:rPr>
          <w:rFonts w:ascii="Arial" w:hAnsi="Arial" w:cs="Arial"/>
          <w:sz w:val="24"/>
          <w:szCs w:val="24"/>
          <w:lang w:val="es-MX"/>
        </w:rPr>
      </w:pPr>
    </w:p>
    <w:tbl>
      <w:tblPr>
        <w:tblStyle w:val="Tablaconcuadrcula"/>
        <w:tblW w:w="0" w:type="auto"/>
        <w:tblInd w:w="-147" w:type="dxa"/>
        <w:tblLook w:val="04A0" w:firstRow="1" w:lastRow="0" w:firstColumn="1" w:lastColumn="0" w:noHBand="0" w:noVBand="1"/>
      </w:tblPr>
      <w:tblGrid>
        <w:gridCol w:w="5011"/>
        <w:gridCol w:w="234"/>
        <w:gridCol w:w="5430"/>
      </w:tblGrid>
      <w:tr w:rsidR="00517E13" w14:paraId="3F5236F7" w14:textId="5742CBFA" w:rsidTr="0081452E">
        <w:trPr>
          <w:trHeight w:val="2542"/>
        </w:trPr>
        <w:tc>
          <w:tcPr>
            <w:tcW w:w="5011" w:type="dxa"/>
          </w:tcPr>
          <w:p w14:paraId="1FDCCB24" w14:textId="3B7F958E" w:rsidR="00F85E1B" w:rsidRPr="006535C4" w:rsidRDefault="006535C4" w:rsidP="00517E13">
            <w:pPr>
              <w:jc w:val="center"/>
              <w:rPr>
                <w:rFonts w:ascii="Arial" w:hAnsi="Arial" w:cs="Arial"/>
                <w:b/>
                <w:bCs/>
                <w:noProof/>
                <w:sz w:val="24"/>
                <w:szCs w:val="24"/>
              </w:rPr>
            </w:pPr>
            <w:r w:rsidRPr="006535C4">
              <w:rPr>
                <w:rFonts w:ascii="Arial" w:hAnsi="Arial" w:cs="Arial"/>
                <w:b/>
                <w:bCs/>
                <w:noProof/>
                <w:sz w:val="24"/>
                <w:szCs w:val="24"/>
              </w:rPr>
              <w:lastRenderedPageBreak/>
              <w:t xml:space="preserve">Gráfico de distribución del naju del solicitante </w:t>
            </w:r>
          </w:p>
          <w:p w14:paraId="72CD0BFF" w14:textId="1E0003DE" w:rsidR="006535C4" w:rsidRDefault="006535C4" w:rsidP="00517E13">
            <w:pPr>
              <w:jc w:val="center"/>
              <w:rPr>
                <w:rFonts w:ascii="Arial" w:hAnsi="Arial" w:cs="Arial"/>
                <w:sz w:val="24"/>
                <w:szCs w:val="24"/>
                <w:lang w:val="es-MX"/>
              </w:rPr>
            </w:pPr>
            <w:r>
              <w:rPr>
                <w:noProof/>
              </w:rPr>
              <w:drawing>
                <wp:inline distT="0" distB="0" distL="0" distR="0" wp14:anchorId="01A12349" wp14:editId="7DCADEB1">
                  <wp:extent cx="2151354" cy="1271117"/>
                  <wp:effectExtent l="0" t="0" r="1905"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2966" cy="1331154"/>
                          </a:xfrm>
                          <a:prstGeom prst="rect">
                            <a:avLst/>
                          </a:prstGeom>
                        </pic:spPr>
                      </pic:pic>
                    </a:graphicData>
                  </a:graphic>
                </wp:inline>
              </w:drawing>
            </w:r>
          </w:p>
        </w:tc>
        <w:tc>
          <w:tcPr>
            <w:tcW w:w="5664" w:type="dxa"/>
            <w:gridSpan w:val="2"/>
          </w:tcPr>
          <w:p w14:paraId="38980ED6" w14:textId="58A8AAA3" w:rsidR="00F85E1B" w:rsidRPr="00503265" w:rsidRDefault="00F85E1B" w:rsidP="00517E13">
            <w:pPr>
              <w:jc w:val="both"/>
              <w:rPr>
                <w:rFonts w:ascii="Arial" w:hAnsi="Arial" w:cs="Arial"/>
                <w:noProof/>
                <w:sz w:val="24"/>
                <w:szCs w:val="24"/>
              </w:rPr>
            </w:pPr>
            <w:r w:rsidRPr="00503265">
              <w:rPr>
                <w:rFonts w:ascii="Arial" w:hAnsi="Arial" w:cs="Arial"/>
                <w:noProof/>
                <w:sz w:val="24"/>
                <w:szCs w:val="24"/>
              </w:rPr>
              <w:t xml:space="preserve">En cuanto al tipo de naju del solicitante, es evidenció que casi la totalidad pertenecia al sector privado, mientras que verificando el tipo de persona, se evidenció que un 80% eran personas naturales frente a un 20% que eran personas juridicas. Analizando el clpr de los individuos, se evidenció que la mayoría eran profesionales independientes al ser estos aproximadamente un 80% del total de los solicitantes. </w:t>
            </w:r>
          </w:p>
        </w:tc>
      </w:tr>
      <w:tr w:rsidR="00517E13" w14:paraId="009F7391" w14:textId="77777777" w:rsidTr="0081452E">
        <w:trPr>
          <w:trHeight w:val="3309"/>
        </w:trPr>
        <w:tc>
          <w:tcPr>
            <w:tcW w:w="5011" w:type="dxa"/>
          </w:tcPr>
          <w:p w14:paraId="43396E7A" w14:textId="3E78601E" w:rsidR="00F85E1B" w:rsidRPr="006535C4" w:rsidRDefault="006535C4" w:rsidP="00517E13">
            <w:pPr>
              <w:jc w:val="center"/>
              <w:rPr>
                <w:rFonts w:ascii="Arial" w:hAnsi="Arial" w:cs="Arial"/>
                <w:b/>
                <w:bCs/>
                <w:noProof/>
                <w:sz w:val="24"/>
                <w:szCs w:val="24"/>
              </w:rPr>
            </w:pPr>
            <w:r w:rsidRPr="006535C4">
              <w:rPr>
                <w:rFonts w:ascii="Arial" w:hAnsi="Arial" w:cs="Arial"/>
                <w:b/>
                <w:bCs/>
                <w:noProof/>
                <w:sz w:val="24"/>
                <w:szCs w:val="24"/>
              </w:rPr>
              <w:t>Gráfico de distribución del tipo de persona</w:t>
            </w:r>
          </w:p>
          <w:p w14:paraId="24F76F8A" w14:textId="41A249DB" w:rsidR="006535C4" w:rsidRDefault="006535C4" w:rsidP="00517E13">
            <w:pPr>
              <w:jc w:val="center"/>
              <w:rPr>
                <w:rFonts w:ascii="Arial" w:hAnsi="Arial" w:cs="Arial"/>
                <w:sz w:val="24"/>
                <w:szCs w:val="24"/>
                <w:lang w:val="es-MX"/>
              </w:rPr>
            </w:pPr>
            <w:r>
              <w:rPr>
                <w:noProof/>
              </w:rPr>
              <w:drawing>
                <wp:inline distT="0" distB="0" distL="0" distR="0" wp14:anchorId="09F820AB" wp14:editId="0F09E5E3">
                  <wp:extent cx="2030220" cy="1590675"/>
                  <wp:effectExtent l="0" t="0" r="82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0550" cy="1606604"/>
                          </a:xfrm>
                          <a:prstGeom prst="rect">
                            <a:avLst/>
                          </a:prstGeom>
                        </pic:spPr>
                      </pic:pic>
                    </a:graphicData>
                  </a:graphic>
                </wp:inline>
              </w:drawing>
            </w:r>
          </w:p>
        </w:tc>
        <w:tc>
          <w:tcPr>
            <w:tcW w:w="5664" w:type="dxa"/>
            <w:gridSpan w:val="2"/>
          </w:tcPr>
          <w:p w14:paraId="423E4C7D" w14:textId="1E778182" w:rsidR="00F85E1B" w:rsidRPr="006535C4" w:rsidRDefault="006535C4" w:rsidP="00517E13">
            <w:pPr>
              <w:jc w:val="center"/>
              <w:rPr>
                <w:rFonts w:ascii="Arial" w:hAnsi="Arial" w:cs="Arial"/>
                <w:b/>
                <w:bCs/>
                <w:noProof/>
                <w:sz w:val="24"/>
                <w:szCs w:val="24"/>
              </w:rPr>
            </w:pPr>
            <w:r w:rsidRPr="006535C4">
              <w:rPr>
                <w:rFonts w:ascii="Arial" w:hAnsi="Arial" w:cs="Arial"/>
                <w:b/>
                <w:bCs/>
                <w:noProof/>
                <w:sz w:val="24"/>
                <w:szCs w:val="24"/>
              </w:rPr>
              <w:t>Gráfico de distribución del clpr de los individuos</w:t>
            </w:r>
          </w:p>
          <w:p w14:paraId="6F7BEF7D" w14:textId="3C34680D" w:rsidR="006535C4" w:rsidRDefault="006535C4" w:rsidP="00517E13">
            <w:pPr>
              <w:jc w:val="center"/>
              <w:rPr>
                <w:noProof/>
              </w:rPr>
            </w:pPr>
            <w:r>
              <w:rPr>
                <w:noProof/>
              </w:rPr>
              <w:drawing>
                <wp:inline distT="0" distB="0" distL="0" distR="0" wp14:anchorId="41888F64" wp14:editId="2EF1D2E9">
                  <wp:extent cx="2363461" cy="155144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4496" cy="1591511"/>
                          </a:xfrm>
                          <a:prstGeom prst="rect">
                            <a:avLst/>
                          </a:prstGeom>
                        </pic:spPr>
                      </pic:pic>
                    </a:graphicData>
                  </a:graphic>
                </wp:inline>
              </w:drawing>
            </w:r>
          </w:p>
        </w:tc>
      </w:tr>
      <w:tr w:rsidR="008A6FA7" w14:paraId="6638AB36" w14:textId="3E8EB7D5" w:rsidTr="00517E13">
        <w:trPr>
          <w:trHeight w:val="1508"/>
        </w:trPr>
        <w:tc>
          <w:tcPr>
            <w:tcW w:w="5245" w:type="dxa"/>
            <w:gridSpan w:val="2"/>
            <w:vMerge w:val="restart"/>
          </w:tcPr>
          <w:p w14:paraId="4F97E70A" w14:textId="77777777" w:rsidR="00503265" w:rsidRDefault="00503265" w:rsidP="00517E13">
            <w:pPr>
              <w:rPr>
                <w:rFonts w:ascii="Arial" w:hAnsi="Arial" w:cs="Arial"/>
                <w:sz w:val="24"/>
                <w:szCs w:val="24"/>
                <w:lang w:val="es-MX"/>
              </w:rPr>
            </w:pPr>
          </w:p>
          <w:p w14:paraId="6AE88059" w14:textId="68318A6A" w:rsidR="00F80406" w:rsidRDefault="002547F5" w:rsidP="00517E13">
            <w:pPr>
              <w:rPr>
                <w:rFonts w:ascii="Arial" w:hAnsi="Arial" w:cs="Arial"/>
                <w:sz w:val="24"/>
                <w:szCs w:val="24"/>
                <w:lang w:val="es-MX"/>
              </w:rPr>
            </w:pPr>
            <w:r>
              <w:rPr>
                <w:rFonts w:ascii="Arial" w:hAnsi="Arial" w:cs="Arial"/>
                <w:sz w:val="24"/>
                <w:szCs w:val="24"/>
                <w:lang w:val="es-MX"/>
              </w:rPr>
              <w:t xml:space="preserve">Realizado un análisis multivariado de las variables de interés, se logró evidenciar que variables como el tipo de persona jurídica está muy relacionada con el clpr instituciones prestadores de servicios en de salud – IPS al igual que </w:t>
            </w:r>
            <w:r w:rsidR="00CD69A7">
              <w:rPr>
                <w:rFonts w:ascii="Arial" w:hAnsi="Arial" w:cs="Arial"/>
                <w:sz w:val="24"/>
                <w:szCs w:val="24"/>
                <w:lang w:val="es-MX"/>
              </w:rPr>
              <w:t>las variables</w:t>
            </w:r>
            <w:r>
              <w:rPr>
                <w:rFonts w:ascii="Arial" w:hAnsi="Arial" w:cs="Arial"/>
                <w:sz w:val="24"/>
                <w:szCs w:val="24"/>
                <w:lang w:val="es-MX"/>
              </w:rPr>
              <w:t xml:space="preserve"> clpr transporte especial de pacientes y objeto social diferente a la prestación de servicios en salud son las que más se relacionan a el naju mixto. </w:t>
            </w:r>
          </w:p>
          <w:p w14:paraId="00CF01BB" w14:textId="77777777" w:rsidR="002547F5" w:rsidRDefault="002547F5" w:rsidP="00517E13">
            <w:pPr>
              <w:rPr>
                <w:rFonts w:ascii="Arial" w:hAnsi="Arial" w:cs="Arial"/>
                <w:sz w:val="24"/>
                <w:szCs w:val="24"/>
                <w:lang w:val="es-MX"/>
              </w:rPr>
            </w:pPr>
            <w:r>
              <w:rPr>
                <w:rFonts w:ascii="Arial" w:hAnsi="Arial" w:cs="Arial"/>
                <w:sz w:val="24"/>
                <w:szCs w:val="24"/>
                <w:lang w:val="es-MX"/>
              </w:rPr>
              <w:t>Por otro lado, al desear segmentar las variables de interés en dos diferentes grupos, se logró evidenciar que se podría hacer mediante la división en dos grupos correspondientes a:</w:t>
            </w:r>
          </w:p>
          <w:p w14:paraId="1DDD3E60" w14:textId="77777777" w:rsidR="002547F5" w:rsidRDefault="002547F5" w:rsidP="00517E13">
            <w:pPr>
              <w:pStyle w:val="Prrafodelista"/>
              <w:numPr>
                <w:ilvl w:val="0"/>
                <w:numId w:val="1"/>
              </w:numPr>
              <w:rPr>
                <w:rFonts w:ascii="Arial" w:hAnsi="Arial" w:cs="Arial"/>
                <w:sz w:val="24"/>
                <w:szCs w:val="24"/>
                <w:lang w:val="es-MX"/>
              </w:rPr>
            </w:pPr>
            <w:r>
              <w:rPr>
                <w:rFonts w:ascii="Arial" w:hAnsi="Arial" w:cs="Arial"/>
                <w:sz w:val="24"/>
                <w:szCs w:val="24"/>
                <w:lang w:val="es-MX"/>
              </w:rPr>
              <w:t>Uno grupo donde se encuentran los valores persona natural</w:t>
            </w:r>
            <w:r w:rsidRPr="002547F5">
              <w:rPr>
                <w:rFonts w:ascii="Arial" w:hAnsi="Arial" w:cs="Arial"/>
                <w:sz w:val="24"/>
                <w:szCs w:val="24"/>
                <w:lang w:val="es-MX"/>
              </w:rPr>
              <w:t xml:space="preserve">, </w:t>
            </w:r>
            <w:r>
              <w:rPr>
                <w:rFonts w:ascii="Arial" w:hAnsi="Arial" w:cs="Arial"/>
                <w:sz w:val="24"/>
                <w:szCs w:val="24"/>
                <w:lang w:val="es-MX"/>
              </w:rPr>
              <w:t xml:space="preserve">clpr </w:t>
            </w:r>
            <w:r w:rsidRPr="002547F5">
              <w:rPr>
                <w:rFonts w:ascii="Arial" w:hAnsi="Arial" w:cs="Arial"/>
                <w:sz w:val="24"/>
                <w:szCs w:val="24"/>
                <w:lang w:val="es-MX"/>
              </w:rPr>
              <w:t xml:space="preserve">profesional </w:t>
            </w:r>
            <w:r>
              <w:rPr>
                <w:rFonts w:ascii="Arial" w:hAnsi="Arial" w:cs="Arial"/>
                <w:sz w:val="24"/>
                <w:szCs w:val="24"/>
                <w:lang w:val="es-MX"/>
              </w:rPr>
              <w:t>independiente</w:t>
            </w:r>
            <w:r w:rsidRPr="002547F5">
              <w:rPr>
                <w:rFonts w:ascii="Arial" w:hAnsi="Arial" w:cs="Arial"/>
                <w:sz w:val="24"/>
                <w:szCs w:val="24"/>
                <w:lang w:val="es-MX"/>
              </w:rPr>
              <w:t xml:space="preserve"> y región centro oriente</w:t>
            </w:r>
            <w:r>
              <w:rPr>
                <w:rFonts w:ascii="Arial" w:hAnsi="Arial" w:cs="Arial"/>
                <w:sz w:val="24"/>
                <w:szCs w:val="24"/>
                <w:lang w:val="es-MX"/>
              </w:rPr>
              <w:t>.</w:t>
            </w:r>
          </w:p>
          <w:p w14:paraId="26E6257B" w14:textId="52670ABD" w:rsidR="002547F5" w:rsidRPr="002547F5" w:rsidRDefault="002547F5" w:rsidP="00517E13">
            <w:pPr>
              <w:pStyle w:val="Prrafodelista"/>
              <w:numPr>
                <w:ilvl w:val="0"/>
                <w:numId w:val="1"/>
              </w:numPr>
              <w:rPr>
                <w:rFonts w:ascii="Arial" w:hAnsi="Arial" w:cs="Arial"/>
                <w:sz w:val="24"/>
                <w:szCs w:val="24"/>
                <w:lang w:val="es-MX"/>
              </w:rPr>
            </w:pPr>
            <w:r>
              <w:rPr>
                <w:rFonts w:ascii="Arial" w:hAnsi="Arial" w:cs="Arial"/>
                <w:sz w:val="24"/>
                <w:szCs w:val="24"/>
                <w:lang w:val="es-MX"/>
              </w:rPr>
              <w:t>Un segundo grupo donde se encuentran los valores r</w:t>
            </w:r>
            <w:r w:rsidRPr="002547F5">
              <w:rPr>
                <w:rFonts w:ascii="Arial" w:hAnsi="Arial" w:cs="Arial"/>
                <w:sz w:val="24"/>
                <w:szCs w:val="24"/>
                <w:lang w:val="es-MX"/>
              </w:rPr>
              <w:t>egión pacífico, región centro sur, 4126 -5956</w:t>
            </w:r>
            <w:r>
              <w:rPr>
                <w:rFonts w:ascii="Arial" w:hAnsi="Arial" w:cs="Arial"/>
                <w:sz w:val="24"/>
                <w:szCs w:val="24"/>
                <w:lang w:val="es-MX"/>
              </w:rPr>
              <w:t xml:space="preserve"> diferencia de </w:t>
            </w:r>
            <w:r w:rsidR="00CD69A7">
              <w:rPr>
                <w:rFonts w:ascii="Arial" w:hAnsi="Arial" w:cs="Arial"/>
                <w:sz w:val="24"/>
                <w:szCs w:val="24"/>
                <w:lang w:val="es-MX"/>
              </w:rPr>
              <w:t>días,</w:t>
            </w:r>
            <w:r w:rsidRPr="002547F5">
              <w:rPr>
                <w:rFonts w:ascii="Arial" w:hAnsi="Arial" w:cs="Arial"/>
                <w:sz w:val="24"/>
                <w:szCs w:val="24"/>
                <w:lang w:val="es-MX"/>
              </w:rPr>
              <w:t xml:space="preserve"> región</w:t>
            </w:r>
            <w:r w:rsidR="0081452E">
              <w:rPr>
                <w:rFonts w:ascii="Arial" w:hAnsi="Arial" w:cs="Arial"/>
                <w:sz w:val="24"/>
                <w:szCs w:val="24"/>
                <w:lang w:val="es-MX"/>
              </w:rPr>
              <w:t xml:space="preserve"> </w:t>
            </w:r>
            <w:r w:rsidRPr="002547F5">
              <w:rPr>
                <w:rFonts w:ascii="Arial" w:hAnsi="Arial" w:cs="Arial"/>
                <w:sz w:val="24"/>
                <w:szCs w:val="24"/>
                <w:lang w:val="es-MX"/>
              </w:rPr>
              <w:t xml:space="preserve">llano, región caribe, </w:t>
            </w:r>
            <w:r>
              <w:rPr>
                <w:rFonts w:ascii="Arial" w:hAnsi="Arial" w:cs="Arial"/>
                <w:sz w:val="24"/>
                <w:szCs w:val="24"/>
                <w:lang w:val="es-MX"/>
              </w:rPr>
              <w:t xml:space="preserve">clpr </w:t>
            </w:r>
            <w:r w:rsidRPr="002547F5">
              <w:rPr>
                <w:rFonts w:ascii="Arial" w:hAnsi="Arial" w:cs="Arial"/>
                <w:sz w:val="24"/>
                <w:szCs w:val="24"/>
                <w:lang w:val="es-MX"/>
              </w:rPr>
              <w:t>transporte especial de pacientes</w:t>
            </w:r>
            <w:r>
              <w:rPr>
                <w:rFonts w:ascii="Arial" w:hAnsi="Arial" w:cs="Arial"/>
                <w:sz w:val="24"/>
                <w:szCs w:val="24"/>
                <w:lang w:val="es-MX"/>
              </w:rPr>
              <w:t xml:space="preserve"> entre otros</w:t>
            </w:r>
            <w:r w:rsidR="0081452E">
              <w:rPr>
                <w:rStyle w:val="Refdenotaalpie"/>
                <w:rFonts w:ascii="Arial" w:hAnsi="Arial" w:cs="Arial"/>
                <w:sz w:val="24"/>
                <w:szCs w:val="24"/>
                <w:lang w:val="es-MX"/>
              </w:rPr>
              <w:footnoteReference w:id="1"/>
            </w:r>
            <w:r>
              <w:rPr>
                <w:rFonts w:ascii="Arial" w:hAnsi="Arial" w:cs="Arial"/>
                <w:sz w:val="24"/>
                <w:szCs w:val="24"/>
                <w:lang w:val="es-MX"/>
              </w:rPr>
              <w:t>.</w:t>
            </w:r>
          </w:p>
        </w:tc>
        <w:tc>
          <w:tcPr>
            <w:tcW w:w="5430" w:type="dxa"/>
          </w:tcPr>
          <w:p w14:paraId="26AAB2CC" w14:textId="3B066DF8" w:rsidR="00F80406" w:rsidRPr="00DD3F41" w:rsidRDefault="00DD3F41" w:rsidP="00517E13">
            <w:pPr>
              <w:jc w:val="center"/>
              <w:rPr>
                <w:rFonts w:ascii="Arial" w:hAnsi="Arial" w:cs="Arial"/>
                <w:b/>
                <w:bCs/>
                <w:noProof/>
                <w:sz w:val="24"/>
                <w:szCs w:val="24"/>
              </w:rPr>
            </w:pPr>
            <w:r w:rsidRPr="00DD3F41">
              <w:rPr>
                <w:rFonts w:ascii="Arial" w:hAnsi="Arial" w:cs="Arial"/>
                <w:b/>
                <w:bCs/>
                <w:noProof/>
                <w:sz w:val="24"/>
                <w:szCs w:val="24"/>
              </w:rPr>
              <w:t>Mapa relación entre variables</w:t>
            </w:r>
          </w:p>
          <w:p w14:paraId="042F4385" w14:textId="0564D77E" w:rsidR="00F80406" w:rsidRDefault="00F80406" w:rsidP="00517E13">
            <w:pPr>
              <w:jc w:val="center"/>
              <w:rPr>
                <w:noProof/>
              </w:rPr>
            </w:pPr>
            <w:r>
              <w:rPr>
                <w:noProof/>
              </w:rPr>
              <w:drawing>
                <wp:inline distT="0" distB="0" distL="0" distR="0" wp14:anchorId="08ABA8AF" wp14:editId="12864948">
                  <wp:extent cx="2663687" cy="2084461"/>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79970" cy="2175458"/>
                          </a:xfrm>
                          <a:prstGeom prst="rect">
                            <a:avLst/>
                          </a:prstGeom>
                        </pic:spPr>
                      </pic:pic>
                    </a:graphicData>
                  </a:graphic>
                </wp:inline>
              </w:drawing>
            </w:r>
          </w:p>
        </w:tc>
      </w:tr>
      <w:tr w:rsidR="00F07B1F" w14:paraId="73EB8540" w14:textId="77777777" w:rsidTr="00517E13">
        <w:trPr>
          <w:trHeight w:val="3371"/>
        </w:trPr>
        <w:tc>
          <w:tcPr>
            <w:tcW w:w="5245" w:type="dxa"/>
            <w:gridSpan w:val="2"/>
            <w:vMerge/>
          </w:tcPr>
          <w:p w14:paraId="57BC5C9D" w14:textId="77777777" w:rsidR="00F80406" w:rsidRDefault="00F80406" w:rsidP="00517E13">
            <w:pPr>
              <w:rPr>
                <w:rFonts w:ascii="Arial" w:hAnsi="Arial" w:cs="Arial"/>
                <w:sz w:val="24"/>
                <w:szCs w:val="24"/>
                <w:lang w:val="es-MX"/>
              </w:rPr>
            </w:pPr>
          </w:p>
        </w:tc>
        <w:tc>
          <w:tcPr>
            <w:tcW w:w="5430" w:type="dxa"/>
          </w:tcPr>
          <w:p w14:paraId="219BAEEF" w14:textId="7B43641F" w:rsidR="00F80406" w:rsidRPr="00DD3F41" w:rsidRDefault="00DD3F41" w:rsidP="00517E13">
            <w:pPr>
              <w:jc w:val="center"/>
              <w:rPr>
                <w:rFonts w:ascii="Arial" w:hAnsi="Arial" w:cs="Arial"/>
                <w:b/>
                <w:bCs/>
                <w:noProof/>
                <w:sz w:val="24"/>
                <w:szCs w:val="24"/>
              </w:rPr>
            </w:pPr>
            <w:r w:rsidRPr="00DD3F41">
              <w:rPr>
                <w:rFonts w:ascii="Arial" w:hAnsi="Arial" w:cs="Arial"/>
                <w:b/>
                <w:bCs/>
                <w:noProof/>
                <w:sz w:val="24"/>
                <w:szCs w:val="24"/>
              </w:rPr>
              <w:t>Segmentación de las variables</w:t>
            </w:r>
          </w:p>
          <w:p w14:paraId="7039C946" w14:textId="7961CB56" w:rsidR="00F80406" w:rsidRDefault="00F80406" w:rsidP="00517E13">
            <w:pPr>
              <w:jc w:val="center"/>
              <w:rPr>
                <w:noProof/>
              </w:rPr>
            </w:pPr>
            <w:r>
              <w:rPr>
                <w:noProof/>
              </w:rPr>
              <w:drawing>
                <wp:inline distT="0" distB="0" distL="0" distR="0" wp14:anchorId="37C2A957" wp14:editId="6E424228">
                  <wp:extent cx="2202511" cy="1917356"/>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41964" cy="1951701"/>
                          </a:xfrm>
                          <a:prstGeom prst="rect">
                            <a:avLst/>
                          </a:prstGeom>
                        </pic:spPr>
                      </pic:pic>
                    </a:graphicData>
                  </a:graphic>
                </wp:inline>
              </w:drawing>
            </w:r>
          </w:p>
        </w:tc>
      </w:tr>
    </w:tbl>
    <w:p w14:paraId="53B59749" w14:textId="03D3957A" w:rsidR="008B670A" w:rsidRDefault="008B670A" w:rsidP="00517E13">
      <w:pPr>
        <w:spacing w:line="240" w:lineRule="auto"/>
        <w:rPr>
          <w:rFonts w:ascii="Arial" w:hAnsi="Arial" w:cs="Arial"/>
          <w:sz w:val="24"/>
          <w:szCs w:val="24"/>
          <w:lang w:val="es-MX"/>
        </w:rPr>
      </w:pPr>
    </w:p>
    <w:p w14:paraId="3A7B9288" w14:textId="77777777" w:rsidR="00517E13" w:rsidRDefault="00517E13">
      <w:pPr>
        <w:spacing w:line="240" w:lineRule="auto"/>
        <w:rPr>
          <w:rFonts w:ascii="Arial" w:hAnsi="Arial" w:cs="Arial"/>
          <w:sz w:val="24"/>
          <w:szCs w:val="24"/>
          <w:lang w:val="es-MX"/>
        </w:rPr>
      </w:pPr>
    </w:p>
    <w:sectPr w:rsidR="00517E13" w:rsidSect="008A6FA7">
      <w:type w:val="continuous"/>
      <w:pgSz w:w="12240" w:h="15840" w:code="122"/>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8C633" w14:textId="77777777" w:rsidR="00A03B5D" w:rsidRDefault="00A03B5D" w:rsidP="0081452E">
      <w:pPr>
        <w:spacing w:after="0" w:line="240" w:lineRule="auto"/>
      </w:pPr>
      <w:r>
        <w:separator/>
      </w:r>
    </w:p>
  </w:endnote>
  <w:endnote w:type="continuationSeparator" w:id="0">
    <w:p w14:paraId="56D7A966" w14:textId="77777777" w:rsidR="00A03B5D" w:rsidRDefault="00A03B5D" w:rsidP="00814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8F37B" w14:textId="77777777" w:rsidR="00A03B5D" w:rsidRDefault="00A03B5D" w:rsidP="0081452E">
      <w:pPr>
        <w:spacing w:after="0" w:line="240" w:lineRule="auto"/>
      </w:pPr>
      <w:r>
        <w:separator/>
      </w:r>
    </w:p>
  </w:footnote>
  <w:footnote w:type="continuationSeparator" w:id="0">
    <w:p w14:paraId="770779F0" w14:textId="77777777" w:rsidR="00A03B5D" w:rsidRDefault="00A03B5D" w:rsidP="0081452E">
      <w:pPr>
        <w:spacing w:after="0" w:line="240" w:lineRule="auto"/>
      </w:pPr>
      <w:r>
        <w:continuationSeparator/>
      </w:r>
    </w:p>
  </w:footnote>
  <w:footnote w:id="1">
    <w:p w14:paraId="3E2286B0" w14:textId="7E213148" w:rsidR="0081452E" w:rsidRPr="00503265" w:rsidRDefault="0081452E">
      <w:pPr>
        <w:pStyle w:val="Textonotapie"/>
        <w:rPr>
          <w:rFonts w:ascii="Arial" w:hAnsi="Arial" w:cs="Arial"/>
          <w:lang w:val="es-MX"/>
        </w:rPr>
      </w:pPr>
      <w:r w:rsidRPr="00503265">
        <w:rPr>
          <w:rStyle w:val="Refdenotaalpie"/>
          <w:rFonts w:ascii="Arial" w:hAnsi="Arial" w:cs="Arial"/>
        </w:rPr>
        <w:footnoteRef/>
      </w:r>
      <w:r w:rsidRPr="00503265">
        <w:rPr>
          <w:rFonts w:ascii="Arial" w:hAnsi="Arial" w:cs="Arial"/>
        </w:rPr>
        <w:t xml:space="preserve"> </w:t>
      </w:r>
      <w:r w:rsidR="00F07B1F" w:rsidRPr="00503265">
        <w:rPr>
          <w:rFonts w:ascii="Arial" w:hAnsi="Arial" w:cs="Arial"/>
        </w:rPr>
        <w:t xml:space="preserve">Para mayor información y observación de las demás variables que componen el segundo </w:t>
      </w:r>
      <w:r w:rsidR="00CD69A7" w:rsidRPr="00503265">
        <w:rPr>
          <w:rFonts w:ascii="Arial" w:hAnsi="Arial" w:cs="Arial"/>
        </w:rPr>
        <w:t>clúster</w:t>
      </w:r>
      <w:r w:rsidR="00F07B1F" w:rsidRPr="00503265">
        <w:rPr>
          <w:rFonts w:ascii="Arial" w:hAnsi="Arial" w:cs="Arial"/>
        </w:rPr>
        <w:t xml:space="preserve"> véase el archivo llamado “salida multivariado.xlsx”.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51974"/>
    <w:multiLevelType w:val="hybridMultilevel"/>
    <w:tmpl w:val="609CCB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0D0"/>
    <w:rsid w:val="00057ECE"/>
    <w:rsid w:val="002547F5"/>
    <w:rsid w:val="00356117"/>
    <w:rsid w:val="004D30D0"/>
    <w:rsid w:val="00503265"/>
    <w:rsid w:val="00517E13"/>
    <w:rsid w:val="00633425"/>
    <w:rsid w:val="00647061"/>
    <w:rsid w:val="006535C4"/>
    <w:rsid w:val="006B6279"/>
    <w:rsid w:val="007C3996"/>
    <w:rsid w:val="0081452E"/>
    <w:rsid w:val="008A6FA7"/>
    <w:rsid w:val="008B670A"/>
    <w:rsid w:val="00A03B5D"/>
    <w:rsid w:val="00AB35AD"/>
    <w:rsid w:val="00CD3DEE"/>
    <w:rsid w:val="00CD69A7"/>
    <w:rsid w:val="00DD3F41"/>
    <w:rsid w:val="00DF48A3"/>
    <w:rsid w:val="00E91847"/>
    <w:rsid w:val="00F07B1F"/>
    <w:rsid w:val="00F80406"/>
    <w:rsid w:val="00F85E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2D0F9"/>
  <w15:chartTrackingRefBased/>
  <w15:docId w15:val="{D643799B-D6B4-4911-9B14-E257278B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B6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547F5"/>
    <w:pPr>
      <w:ind w:left="720"/>
      <w:contextualSpacing/>
    </w:pPr>
  </w:style>
  <w:style w:type="paragraph" w:styleId="Textonotapie">
    <w:name w:val="footnote text"/>
    <w:basedOn w:val="Normal"/>
    <w:link w:val="TextonotapieCar"/>
    <w:uiPriority w:val="99"/>
    <w:semiHidden/>
    <w:unhideWhenUsed/>
    <w:rsid w:val="0081452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1452E"/>
    <w:rPr>
      <w:sz w:val="20"/>
      <w:szCs w:val="20"/>
    </w:rPr>
  </w:style>
  <w:style w:type="character" w:styleId="Refdenotaalpie">
    <w:name w:val="footnote reference"/>
    <w:basedOn w:val="Fuentedeprrafopredeter"/>
    <w:uiPriority w:val="99"/>
    <w:semiHidden/>
    <w:unhideWhenUsed/>
    <w:rsid w:val="008145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00C38-A9EC-4512-B8AB-C8AF6989A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3</Pages>
  <Words>487</Words>
  <Characters>2681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Molina Espitia</dc:creator>
  <cp:keywords/>
  <dc:description/>
  <cp:lastModifiedBy>Miguel Angel Molina Espitia</cp:lastModifiedBy>
  <cp:revision>15</cp:revision>
  <dcterms:created xsi:type="dcterms:W3CDTF">2024-04-08T04:02:00Z</dcterms:created>
  <dcterms:modified xsi:type="dcterms:W3CDTF">2024-04-08T21:42:00Z</dcterms:modified>
</cp:coreProperties>
</file>