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b/>
          <w:bCs/>
          <w:color w:val="C8702A"/>
          <w:spacing w:val="40"/>
          <w:sz w:val="22"/>
          <w:szCs w:val="22"/>
        </w:rPr>
        <w:t xml:space="preserve">RELATÓRIO DE ANÁLISE ORGANIZACIONAL</w:t>
      </w:r>
    </w:p>
    <w:p>
      <w:pPr>
        <w:spacing w:after="120"/>
      </w:pPr>
      <w:r>
        <w:rPr>
          <w:b/>
          <w:bCs/>
          <w:color w:val="1F4E5F"/>
          <w:sz w:val="60"/>
          <w:szCs w:val="60"/>
        </w:rPr>
        <w:t xml:space="preserve">GASC – Grupo de Ação Social Cristã</w:t>
      </w:r>
    </w:p>
    <w:p>
      <w:pPr>
        <w:pBdr>
          <w:bottom w:val="single" w:color="C8702A" w:sz="18" w:space="12"/>
        </w:pBdr>
        <w:spacing w:after="400"/>
      </w:pPr>
      <w:r>
        <w:rPr>
          <w:color w:val="1F4E5F"/>
          <w:sz w:val="44"/>
          <w:szCs w:val="44"/>
        </w:rPr>
        <w:t xml:space="preserve">Barcelos</w:t>
      </w:r>
    </w:p>
    <w:p>
      <w:pPr>
        <w:spacing w:after="600" w:before="300" w:line="320"/>
      </w:pPr>
      <w:r>
        <w:rPr>
          <w:color w:val="444444"/>
          <w:sz w:val="26"/>
          <w:szCs w:val="26"/>
        </w:rPr>
        <w:t xml:space="preserve">Ações e áreas de trabalho, análise financeira, lacunas de resposta e recomendações para maior eficiência, rentabilidade e angariação de fundos.</w:t>
      </w:r>
    </w:p>
    <w:p>
      <w:pPr>
        <w:spacing w:after="60"/>
      </w:pPr>
      <w:r>
        <w:rPr>
          <w:sz w:val="22"/>
          <w:szCs w:val="22"/>
        </w:rPr>
        <w:t xml:space="preserve">Data: 29 de setembro de 2026</w:t>
      </w:r>
    </w:p>
    <w:p>
      <w:pPr>
        <w:spacing w:after="60"/>
      </w:pPr>
      <w:r>
        <w:rPr>
          <w:color w:val="666666"/>
          <w:sz w:val="20"/>
          <w:szCs w:val="20"/>
        </w:rPr>
        <w:t xml:space="preserve">Base: documentos públicos do GASC, Câmara Municipal de Barcelos, fundos europeus, Autoridade Tributária, portal BASE e imprensa.</w:t>
      </w:r>
    </w:p>
    <w:p>
      <w:pPr>
        <w:pageBreakBefore/>
      </w:pPr>
    </w:p>
    <w:p>
      <w:pPr>
        <w:pStyle w:val="Heading1"/>
      </w:pPr>
      <w:r>
        <w:t xml:space="preserve">1. Sumário executivo</w:t>
      </w:r>
    </w:p>
    <w:p>
      <w:pPr>
        <w:spacing w:after="120" w:line="288"/>
      </w:pPr>
      <w:r>
        <w:t xml:space="preserve">O </w:t>
      </w:r>
      <w:r>
        <w:rPr>
          <w:b/>
          <w:bCs/>
        </w:rPr>
        <w:t xml:space="preserve">GASC – Grupo de Ação Social Cristã</w:t>
      </w:r>
      <w:r>
        <w:t xml:space="preserve"> é uma IPSS sediada em Barcelos, nascida em 1978 de um grupo de voluntários da Igreja de Santo António. Quase meio século depois, é uma organização com cerca de </w:t>
      </w:r>
      <w:r>
        <w:rPr>
          <w:b/>
          <w:bCs/>
        </w:rPr>
        <w:t xml:space="preserve">45 colaboradores</w:t>
      </w:r>
      <w:r>
        <w:t xml:space="preserve">, </w:t>
      </w:r>
      <w:r>
        <w:rPr>
          <w:b/>
          <w:bCs/>
        </w:rPr>
        <w:t xml:space="preserve">1,42 M€ de proveitos em 2025</w:t>
      </w:r>
      <w:r>
        <w:t xml:space="preserve">, dez respostas sociais em funcionamento e uma posição de referência local e nacional em duas áreas: </w:t>
      </w:r>
      <w:r>
        <w:rPr>
          <w:b/>
          <w:bCs/>
        </w:rPr>
        <w:t xml:space="preserve">violência doméstica</w:t>
      </w:r>
      <w:r>
        <w:t xml:space="preserve"> e </w:t>
      </w:r>
      <w:r>
        <w:rPr>
          <w:b/>
          <w:bCs/>
        </w:rPr>
        <w:t xml:space="preserve">pessoas em situação de sem-abrigo</w:t>
      </w:r>
      <w:r>
        <w:t xml:space="preserve">.</w:t>
      </w:r>
    </w:p>
    <w:p>
      <w:pPr>
        <w:spacing w:after="120" w:line="288"/>
      </w:pPr>
      <w:r>
        <w:t xml:space="preserve">Este relatório foi elaborado a partir do site institucional, da página da Câmara Municipal de Barcelos, de relatórios de atividades e de contas do próprio GASC (2021–2025 e orçamento 2026), de listas oficiais de fundos europeus e da consignação de IRS, do portal de contratos públicos (BASE) e de imprensa regional e nacional. Onde não foi possível confirmar um dado, isso está indicado.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702A" w:sz="24"/>
              <w:bottom w:val="none" w:color="FFFFFF" w:sz="0"/>
              <w:right w:val="none" w:color="FFFFFF" w:sz="0"/>
            </w:tcBorders>
            <w:shd w:fill="E8F0F2" w:color="auto" w:val="clear"/>
            <w:tcMar>
              <w:top w:type="dxa" w:w="100"/>
              <w:left w:type="dxa" w:w="160"/>
              <w:bottom w:type="dxa" w:w="100"/>
              <w:right w:type="dxa" w:w="140"/>
            </w:tcMar>
          </w:tcPr>
          <w:p>
            <w:pPr>
              <w:spacing w:after="60"/>
            </w:pPr>
            <w:r>
              <w:rPr>
                <w:b/>
                <w:bCs/>
                <w:color w:val="1F4E5F"/>
                <w:sz w:val="21"/>
                <w:szCs w:val="21"/>
              </w:rPr>
              <w:t xml:space="preserve">Conclusões principais</w:t>
            </w:r>
          </w:p>
          <w:p>
            <w:pPr>
              <w:spacing w:after="60"/>
            </w:pPr>
            <w:r>
              <w:rPr>
                <w:sz w:val="20"/>
                <w:szCs w:val="20"/>
              </w:rPr>
              <w:t xml:space="preserve"/>
            </w:r>
            <w:r>
              <w:rPr>
                <w:b/>
                <w:bCs/>
                <w:sz w:val="20"/>
                <w:szCs w:val="20"/>
              </w:rPr>
              <w:t xml:space="preserve">Pontos fortes.</w:t>
            </w:r>
            <w:r>
              <w:rPr>
                <w:sz w:val="20"/>
                <w:szCs w:val="20"/>
              </w:rPr>
              <w:t xml:space="preserve"> Balanço sólido (autonomia financeira de 61,6 %, zero dívida bancária, 431,6 mil € em caixa), crescimento de 170 % nos proveitos entre 2022 e 2025, donativos a valer 24 % das receitas, e resultados de impacto reconhecidos (Barcelos foi o concelho do país onde mais pessoas saíram da situação de sem-abrigo em 2024: 107).</w:t>
            </w:r>
          </w:p>
          <w:p>
            <w:pPr>
              <w:spacing w:after="60"/>
            </w:pPr>
            <w:r>
              <w:rPr>
                <w:sz w:val="20"/>
                <w:szCs w:val="20"/>
              </w:rPr>
              <w:t xml:space="preserve"/>
            </w:r>
            <w:r>
              <w:rPr>
                <w:b/>
                <w:bCs/>
                <w:sz w:val="20"/>
                <w:szCs w:val="20"/>
              </w:rPr>
              <w:t xml:space="preserve">Fragilidade central.</w:t>
            </w:r>
            <w:r>
              <w:rPr>
                <w:sz w:val="20"/>
                <w:szCs w:val="20"/>
              </w:rPr>
              <w:t xml:space="preserve"> 73,7 % das receitas são subsídios à exploração, na maioria ligados a projetos com prazo e a acordos de cooperação que estão em renovação. O orçamento de 2026 prevê +23,7 % de subsídios e +28,5 % de despesas com pessoal, com uma margem de apenas 15 mil €.</w:t>
            </w:r>
          </w:p>
          <w:p>
            <w:pPr>
              <w:spacing w:after="60"/>
            </w:pPr>
            <w:r>
              <w:rPr>
                <w:sz w:val="20"/>
                <w:szCs w:val="20"/>
              </w:rPr>
              <w:t xml:space="preserve"/>
            </w:r>
            <w:r>
              <w:rPr>
                <w:b/>
                <w:bCs/>
                <w:sz w:val="20"/>
                <w:szCs w:val="20"/>
              </w:rPr>
              <w:t xml:space="preserve">Transparência e comunicação.</w:t>
            </w:r>
            <w:r>
              <w:rPr>
                <w:sz w:val="20"/>
                <w:szCs w:val="20"/>
              </w:rPr>
              <w:t xml:space="preserve"> 65,6 % dos subsídios de 2025 (913 mil €) não são atribuíveis a nenhum financiador nos documentos públicos, porque o Anexo às demonstrações financeiras nunca é publicado. O site tem partes desatualizadas desde 2016–2017 e não encontrei donativo online (MB WAY / cartão).</w:t>
            </w:r>
          </w:p>
          <w:p>
            <w:pPr>
              <w:spacing w:after="60"/>
            </w:pPr>
            <w:r>
              <w:rPr>
                <w:sz w:val="20"/>
                <w:szCs w:val="20"/>
              </w:rPr>
              <w:t xml:space="preserve"/>
            </w:r>
            <w:r>
              <w:rPr>
                <w:b/>
                <w:bCs/>
                <w:sz w:val="20"/>
                <w:szCs w:val="20"/>
              </w:rPr>
              <w:t xml:space="preserve">Lacunas de resposta.</w:t>
            </w:r>
            <w:r>
              <w:rPr>
                <w:sz w:val="20"/>
                <w:szCs w:val="20"/>
              </w:rPr>
              <w:t xml:space="preserve"> Não encontrei evidência de programas para autores de violência, de redução de riscos e minimização de danos, de inserção profissional estruturada, de apoio à literacia financeira/sobre-endividamento, nem de intervenção familiar (tipo CAFAP). A adição feminina está pouco servida (17 % dos utentes do Projeto Sorrir são mulheres).</w:t>
            </w:r>
          </w:p>
          <w:p>
            <w:pPr>
              <w:spacing w:after="60"/>
            </w:pPr>
            <w:r>
              <w:rPr>
                <w:sz w:val="20"/>
                <w:szCs w:val="20"/>
              </w:rPr>
              <w:t xml:space="preserve"/>
            </w:r>
            <w:r>
              <w:rPr>
                <w:b/>
                <w:bCs/>
                <w:sz w:val="20"/>
                <w:szCs w:val="20"/>
              </w:rPr>
              <w:t xml:space="preserve">Oportunidade imediata.</w:t>
            </w:r>
            <w:r>
              <w:rPr>
                <w:sz w:val="20"/>
                <w:szCs w:val="20"/>
              </w:rPr>
              <w:t xml:space="preserve"> O concurso europeu CERV-2026-DAPHNE (violência de género) fecha a </w:t>
            </w:r>
            <w:r>
              <w:rPr>
                <w:b/>
                <w:bCs/>
                <w:sz w:val="20"/>
                <w:szCs w:val="20"/>
              </w:rPr>
              <w:t xml:space="preserve">3 de novembro de 2026</w:t>
            </w:r>
            <w:r>
              <w:rPr>
                <w:sz w:val="20"/>
                <w:szCs w:val="20"/>
              </w:rPr>
              <w:t xml:space="preserve">; o Prémio BPI Fundação “la Caixa” Solidário dá até 100 mil € por projeto; e o Estatuto do Mecenato permite majorar donativos empresariais a 130–140 %.</w:t>
            </w:r>
          </w:p>
        </w:tc>
      </w:tr>
    </w:tbl>
    <w:p>
      <w:pPr>
        <w:spacing w:after="120"/>
      </w:pPr>
    </w:p>
    <w:p>
      <w:pPr>
        <w:spacing w:after="120" w:line="288"/>
      </w:pPr>
      <w:r>
        <w:t xml:space="preserve">A secção 12 apresenta as recomendações organizadas por prazo e prioridade; a secção 13 resume o roteiro para os próximos 12 meses.</w:t>
      </w:r>
    </w:p>
    <w:p>
      <w:pPr>
        <w:pStyle w:val="Heading1"/>
      </w:pPr>
      <w:r>
        <w:t xml:space="preserve">2. Identificação e enquadramento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Elemento</w:t>
            </w:r>
          </w:p>
        </w:tc>
        <w:tc>
          <w:tcPr>
            <w:tcW w:type="dxa" w:w="523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Informação</w:t>
            </w:r>
          </w:p>
        </w:tc>
        <w:tc>
          <w:tcPr>
            <w:tcW w:type="dxa" w:w="21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Estado</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Denominação</w:t>
            </w:r>
          </w:p>
        </w:tc>
        <w:tc>
          <w:tcPr>
            <w:tcW w:type="dxa" w:w="52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GASC – Grupo de Acção Social Cristã</w:t>
            </w:r>
          </w:p>
        </w:tc>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Confirmado</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Natureza jurídica</w:t>
            </w:r>
          </w:p>
        </w:tc>
        <w:tc>
          <w:tcPr>
            <w:tcW w:type="dxa" w:w="52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Associação de Solidariedade Social (IPSS)</w:t>
            </w:r>
          </w:p>
        </w:tc>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Confirmado</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NIPC</w:t>
            </w:r>
          </w:p>
        </w:tc>
        <w:tc>
          <w:tcPr>
            <w:tcW w:type="dxa" w:w="52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501 167 102</w:t>
            </w:r>
          </w:p>
        </w:tc>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Confirmado (contas, AT, listas de fundos)</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Sede</w:t>
            </w:r>
          </w:p>
        </w:tc>
        <w:tc>
          <w:tcPr>
            <w:tcW w:type="dxa" w:w="52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Campo 25 de Abril, n.º 24/26, 4750-102 Barcelos</w:t>
            </w:r>
          </w:p>
        </w:tc>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Confirmado</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Contactos</w:t>
            </w:r>
          </w:p>
        </w:tc>
        <w:tc>
          <w:tcPr>
            <w:tcW w:type="dxa" w:w="52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+351 253 816 196 · geral@gasc-ipss.org</w:t>
            </w:r>
          </w:p>
        </w:tc>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Confirmado</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Fundo social</w:t>
            </w:r>
          </w:p>
        </w:tc>
        <w:tc>
          <w:tcPr>
            <w:tcW w:type="dxa" w:w="52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186 250 €</w:t>
            </w:r>
          </w:p>
        </w:tc>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Confirmado (2024 e 2025)</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Presidente da Direção</w:t>
            </w:r>
          </w:p>
        </w:tc>
        <w:tc>
          <w:tcPr>
            <w:tcW w:type="dxa" w:w="52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Domingos Lopes</w:t>
            </w:r>
          </w:p>
        </w:tc>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Confirmado (Câmara de Barcelos, jan. 2026)</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Coordenadora Geral</w:t>
            </w:r>
          </w:p>
        </w:tc>
        <w:tc>
          <w:tcPr>
            <w:tcW w:type="dxa" w:w="52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Célia Barbosa (psicóloga)</w:t>
            </w:r>
          </w:p>
        </w:tc>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Confirmado</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Diretora Técnica do SAAS</w:t>
            </w:r>
          </w:p>
        </w:tc>
        <w:tc>
          <w:tcPr>
            <w:tcW w:type="dxa" w:w="52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Liliana Silva</w:t>
            </w:r>
          </w:p>
        </w:tc>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Confirmado (site)</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Colaboradores</w:t>
            </w:r>
          </w:p>
        </w:tc>
        <w:tc>
          <w:tcPr>
            <w:tcW w:type="dxa" w:w="52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Média de 45 em 2025</w:t>
            </w:r>
          </w:p>
        </w:tc>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Confirmado (Relatório de Gestão)</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Voluntários</w:t>
            </w:r>
          </w:p>
        </w:tc>
        <w:tc>
          <w:tcPr>
            <w:tcW w:type="dxa" w:w="52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23 dirigentes voluntários + 2 voluntários de intervenção direta</w:t>
            </w:r>
          </w:p>
        </w:tc>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Confirmado (site)</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Ano de fundação</w:t>
            </w:r>
          </w:p>
        </w:tc>
        <w:tc>
          <w:tcPr>
            <w:tcW w:type="dxa" w:w="52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1978 (mais provável). O site diz 1978 na História e 1979 em “Quem somos”; a Câmara refere 1979 e, numa peça de 2026, 1976</w:t>
            </w:r>
          </w:p>
        </w:tc>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Divergente entre fontes</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Presença digital</w:t>
            </w:r>
          </w:p>
        </w:tc>
        <w:tc>
          <w:tcPr>
            <w:tcW w:type="dxa" w:w="52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Site próprio, Facebook, Instagram e LinkedIn (@gasc.barcelos)</w:t>
            </w:r>
          </w:p>
        </w:tc>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Facebook não pôde ser analisado</w:t>
            </w:r>
          </w:p>
        </w:tc>
      </w:tr>
    </w:tbl>
    <w:p>
      <w:pPr>
        <w:spacing w:after="120"/>
      </w:pPr>
    </w:p>
    <w:p>
      <w:pPr>
        <w:spacing w:after="120" w:line="288"/>
      </w:pPr>
      <w:r>
        <w:t xml:space="preserve"/>
      </w:r>
      <w:r>
        <w:rPr>
          <w:b/>
          <w:bCs/>
        </w:rPr>
        <w:t xml:space="preserve">Contexto territorial.</w:t>
      </w:r>
      <w:r>
        <w:t xml:space="preserve"> Barcelos tinha cerca de 116 959 habitantes em 2024 (concelho) e integra a CIM do Cávado. O concelho tem 15 Comissões Sociais Inter-Freguesias, Conselho Local de Ação Social (CLASB), CLDS 5G e Núcleo de Planeamento e Intervenção Sem-Abrigo (NPISA), criado em outubro de 2023 com 16 entidades, entre elas o GASC. Os indicadores socioeconómicos concretos do concelho (RSI, desemprego, envelhecimento) estão no Diagnóstico Social 2024 da Câmara, um PDF digitalizado que não foi possível ler automaticamente; recomenda-se que a equipa do GASC o use para fundamentar candidaturas.</w:t>
      </w:r>
    </w:p>
    <w:p>
      <w:pPr>
        <w:pStyle w:val="Heading1"/>
      </w:pPr>
      <w:r>
        <w:t xml:space="preserve">3. História e evolução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Período</w:t>
            </w:r>
          </w:p>
        </w:tc>
        <w:tc>
          <w:tcPr>
            <w:tcW w:type="dxa" w:w="793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Marco</w:t>
            </w:r>
          </w:p>
        </w:tc>
      </w:tr>
      <w:tr>
        <w:trPr>
          <w:cantSplit/>
        </w:trPr>
        <w:tc>
          <w:tcPr>
            <w:tcW w:type="dxa" w:w="1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1978</w:t>
            </w:r>
          </w:p>
        </w:tc>
        <w:tc>
          <w:tcPr>
            <w:tcW w:type="dxa" w:w="79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Fundação pelo Padre Pojeira, com voluntários da Igreja de Santo António, para apoiar a população mais desfavorecida do concelho.</w:t>
            </w:r>
          </w:p>
        </w:tc>
      </w:tr>
      <w:tr>
        <w:trPr>
          <w:cantSplit/>
        </w:trPr>
        <w:tc>
          <w:tcPr>
            <w:tcW w:type="dxa" w:w="17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Anos 80–90</w:t>
            </w:r>
          </w:p>
        </w:tc>
        <w:tc>
          <w:tcPr>
            <w:tcW w:type="dxa" w:w="79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Serviço à Vida (distribuição de refeições na rua) e Banco Alimentar (apoio mensal a famílias carenciadas).</w:t>
            </w:r>
          </w:p>
        </w:tc>
      </w:tr>
      <w:tr>
        <w:trPr>
          <w:cantSplit/>
        </w:trPr>
        <w:tc>
          <w:tcPr>
            <w:tcW w:type="dxa" w:w="1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1998</w:t>
            </w:r>
          </w:p>
        </w:tc>
        <w:tc>
          <w:tcPr>
            <w:tcW w:type="dxa" w:w="79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Inauguração do Refeitório Social, com refeições, lavandaria e balneários.</w:t>
            </w:r>
          </w:p>
        </w:tc>
      </w:tr>
      <w:tr>
        <w:trPr>
          <w:cantSplit/>
        </w:trPr>
        <w:tc>
          <w:tcPr>
            <w:tcW w:type="dxa" w:w="17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2004–2005</w:t>
            </w:r>
          </w:p>
        </w:tc>
        <w:tc>
          <w:tcPr>
            <w:tcW w:type="dxa" w:w="79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Formalização como IPSS e acordos de cooperação: Refeitório Social (nov. 2004), Centro de Apoio à Mulher, Serviço de Atendimento e Acompanhamento Social e espaço de atendimento a vítimas de violência doméstica.</w:t>
            </w:r>
          </w:p>
        </w:tc>
      </w:tr>
      <w:tr>
        <w:trPr>
          <w:cantSplit/>
        </w:trPr>
        <w:tc>
          <w:tcPr>
            <w:tcW w:type="dxa" w:w="1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2009–2011</w:t>
            </w:r>
          </w:p>
        </w:tc>
        <w:tc>
          <w:tcPr>
            <w:tcW w:type="dxa" w:w="79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Projeto Sorrir (dependências), Projeto PES (prevenção) e Projeto A Teu Lado (igualdade de género e violência doméstica).</w:t>
            </w:r>
          </w:p>
        </w:tc>
      </w:tr>
      <w:tr>
        <w:trPr>
          <w:cantSplit/>
        </w:trPr>
        <w:tc>
          <w:tcPr>
            <w:tcW w:type="dxa" w:w="17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2013</w:t>
            </w:r>
          </w:p>
        </w:tc>
        <w:tc>
          <w:tcPr>
            <w:tcW w:type="dxa" w:w="79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Cantina Social (emergência alimentar) e Um Teto Para Todos (habitação para sem-abrigo).</w:t>
            </w:r>
          </w:p>
        </w:tc>
      </w:tr>
      <w:tr>
        <w:trPr>
          <w:cantSplit/>
        </w:trPr>
        <w:tc>
          <w:tcPr>
            <w:tcW w:type="dxa" w:w="1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2016–2019</w:t>
            </w:r>
          </w:p>
        </w:tc>
        <w:tc>
          <w:tcPr>
            <w:tcW w:type="dxa" w:w="79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Rede Local de Intervenção Social (RLIS), Projeto SER e Projeto SER IGUAL, todos cofinanciados pelo Portugal 2020.</w:t>
            </w:r>
          </w:p>
        </w:tc>
      </w:tr>
      <w:tr>
        <w:trPr>
          <w:cantSplit/>
        </w:trPr>
        <w:tc>
          <w:tcPr>
            <w:tcW w:type="dxa" w:w="17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2021</w:t>
            </w:r>
          </w:p>
        </w:tc>
        <w:tc>
          <w:tcPr>
            <w:tcW w:type="dxa" w:w="79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CorAção com Voz (apoio psicológico a crianças e jovens com deficiência vítimas de violência) e Projeto Sou+ (sem-abrigo, liderado pela Câmara).</w:t>
            </w:r>
          </w:p>
        </w:tc>
      </w:tr>
      <w:tr>
        <w:trPr>
          <w:cantSplit/>
        </w:trPr>
        <w:tc>
          <w:tcPr>
            <w:tcW w:type="dxa" w:w="1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2023</w:t>
            </w:r>
          </w:p>
        </w:tc>
        <w:tc>
          <w:tcPr>
            <w:tcW w:type="dxa" w:w="79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Início do SAAS descentralizado (abril), equipa BarcELOS d’Abrigo (agosto), NPISA (outubro), Selo Municipal para a Igualdade e Conciliação (outubro) e projeto “Não Desistas de Ti!” (Fundação “la Caixa”/BPI).</w:t>
            </w:r>
          </w:p>
        </w:tc>
      </w:tr>
      <w:tr>
        <w:trPr>
          <w:cantSplit/>
        </w:trPr>
        <w:tc>
          <w:tcPr>
            <w:tcW w:type="dxa" w:w="17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2024–2025</w:t>
            </w:r>
          </w:p>
        </w:tc>
        <w:tc>
          <w:tcPr>
            <w:tcW w:type="dxa" w:w="79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Projeto SER VOZ (jul. 2024), Um Teto Para Todos 2.0 (abr. 2024), Hortas com Propósito (jun. 2025) e Programa de Privação Material (out. 2025).</w:t>
            </w:r>
          </w:p>
        </w:tc>
      </w:tr>
      <w:tr>
        <w:trPr>
          <w:cantSplit/>
        </w:trPr>
        <w:tc>
          <w:tcPr>
            <w:tcW w:type="dxa" w:w="1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2025–2026</w:t>
            </w:r>
          </w:p>
        </w:tc>
        <w:tc>
          <w:tcPr>
            <w:tcW w:type="dxa" w:w="79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Barcelos distinguido a nível nacional pelos resultados na área do sem-abrigo; Fórum ELOS D’Abrigo (jan. 2026).</w:t>
            </w:r>
          </w:p>
        </w:tc>
      </w:tr>
    </w:tbl>
    <w:p>
      <w:pPr>
        <w:spacing w:after="120"/>
      </w:pPr>
    </w:p>
    <w:p>
      <w:pPr>
        <w:spacing w:after="120" w:line="288"/>
      </w:pPr>
      <w:r>
        <w:t xml:space="preserve">A trajetória mostra uma organização que evoluiu de assistência alimentar e de rua para um modelo </w:t>
      </w:r>
      <w:r>
        <w:rPr>
          <w:b/>
          <w:bCs/>
        </w:rPr>
        <w:t xml:space="preserve">multidisciplinar e especializado</w:t>
      </w:r>
      <w:r>
        <w:t xml:space="preserve">, com forte capacidade de captar projetos cofinanciados e de se integrar nas redes locais.</w:t>
      </w:r>
    </w:p>
    <w:p>
      <w:pPr>
        <w:pStyle w:val="Heading1"/>
      </w:pPr>
      <w:r>
        <w:t xml:space="preserve">4. Missão, visão e valores</w:t>
      </w:r>
    </w:p>
    <w:p>
      <w:pPr>
        <w:spacing w:after="120" w:line="288"/>
      </w:pPr>
      <w:r>
        <w:t xml:space="preserve"/>
      </w:r>
      <w:r>
        <w:rPr>
          <w:b/>
          <w:bCs/>
        </w:rPr>
        <w:t xml:space="preserve">Missão:</w:t>
      </w:r>
      <w:r>
        <w:t xml:space="preserve"> apoiar a população carenciada, as vítimas de violência doméstica, os toxicodependentes e as suas famílias, de forma gratuita e confidencial, com base no respeito pelos direitos humanos.</w:t>
      </w:r>
    </w:p>
    <w:p>
      <w:pPr>
        <w:spacing w:after="120" w:line="288"/>
      </w:pPr>
      <w:r>
        <w:t xml:space="preserve"/>
      </w:r>
      <w:r>
        <w:rPr>
          <w:b/>
          <w:bCs/>
        </w:rPr>
        <w:t xml:space="preserve">Visão:</w:t>
      </w:r>
      <w:r>
        <w:t xml:space="preserve"> fomentar a inovação e o crescimento organizacionais, para reforçar e solidificar as respostas sociais e alargar o público-alvo dentro do concelho.</w:t>
      </w:r>
    </w:p>
    <w:p>
      <w:pPr>
        <w:spacing w:after="120" w:line="288"/>
      </w:pPr>
      <w:r>
        <w:t xml:space="preserve"/>
      </w:r>
      <w:r>
        <w:rPr>
          <w:b/>
          <w:bCs/>
        </w:rPr>
        <w:t xml:space="preserve">Valores:</w:t>
      </w:r>
      <w:r>
        <w:t xml:space="preserve"> solidariedade, cooperação, igualdade, transparência, responsabilidade, civismo, tolerância e honestidade.</w:t>
      </w:r>
    </w:p>
    <w:p>
      <w:pPr>
        <w:spacing w:after="120" w:line="288"/>
      </w:pPr>
      <w:r>
        <w:t xml:space="preserve">Nota de análise: o valor “transparência” está declarado, mas a prática de publicação (secção 8) fica aquém dele. Seria coerente alinhá-los.</w:t>
      </w:r>
    </w:p>
    <w:p>
      <w:pPr>
        <w:pStyle w:val="Heading1"/>
      </w:pPr>
      <w:r>
        <w:t xml:space="preserve">5. Áreas de trabalho e respostas sociais</w:t>
      </w:r>
    </w:p>
    <w:p>
      <w:pPr>
        <w:spacing w:after="120" w:line="288"/>
      </w:pPr>
      <w:r>
        <w:t xml:space="preserve">O GASC organiza-se em quatro áreas de intervenção. O Relatório de Atividades do 4.º trimestre de 2025 identifica dez respostas em funcionamento: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900"/>
        <w:gridCol w:w="2338"/>
      </w:tblGrid>
      <w:tr>
        <w:trPr>
          <w:cantSplit/>
          <w:tblHeader/>
        </w:trPr>
        <w:tc>
          <w:tcPr>
            <w:tcW w:type="dxa" w:w="21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Resposta</w:t>
            </w:r>
          </w:p>
        </w:tc>
        <w:tc>
          <w:tcPr>
            <w:tcW w:type="dxa" w:w="33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Enquadramento</w:t>
            </w:r>
          </w:p>
        </w:tc>
        <w:tc>
          <w:tcPr>
            <w:tcW w:type="dxa" w:w="19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Capacidade / meta</w:t>
            </w:r>
          </w:p>
        </w:tc>
        <w:tc>
          <w:tcPr>
            <w:tcW w:type="dxa" w:w="233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Resultado 2025</w:t>
            </w:r>
          </w:p>
        </w:tc>
      </w:tr>
      <w:tr>
        <w:trPr>
          <w:cantSplit/>
        </w:trPr>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Centro de Apoio à Mulher</w:t>
            </w:r>
          </w:p>
        </w:tc>
        <w:tc>
          <w:tcPr>
            <w:tcW w:type="dxa" w:w="3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Acordo de cooperação com o ISS; certificado na RNAVVD; manifestação de interesse ao PROCOOP sem resposta</w:t>
            </w:r>
          </w:p>
        </w:tc>
        <w:tc>
          <w:tcPr>
            <w:tcW w:type="dxa" w:w="1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10 vagas</w:t>
            </w:r>
          </w:p>
        </w:tc>
        <w:tc>
          <w:tcPr>
            <w:tcW w:type="dxa" w:w="23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9 agregados; 7 pessoas a 31/12</w:t>
            </w:r>
          </w:p>
        </w:tc>
      </w:tr>
      <w:tr>
        <w:trPr>
          <w:cantSplit/>
        </w:trPr>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Projeto SER VOZ</w:t>
            </w:r>
          </w:p>
        </w:tc>
        <w:tc>
          <w:tcPr>
            <w:tcW w:type="dxa" w:w="3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FSE+/PESSOAS 2030 (CIG); prorrogado até jul. 2027</w:t>
            </w:r>
          </w:p>
        </w:tc>
        <w:tc>
          <w:tcPr>
            <w:tcW w:type="dxa" w:w="1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Meta: 1 314 atendimentos</w:t>
            </w:r>
          </w:p>
        </w:tc>
        <w:tc>
          <w:tcPr>
            <w:tcW w:type="dxa" w:w="23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1 896 atendimentos; 69 vítimas adultas</w:t>
            </w:r>
          </w:p>
        </w:tc>
      </w:tr>
      <w:tr>
        <w:trPr>
          <w:cantSplit/>
        </w:trPr>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Refeitório Social</w:t>
            </w:r>
          </w:p>
        </w:tc>
        <w:tc>
          <w:tcPr>
            <w:tcW w:type="dxa" w:w="3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Acordo desde nov. 2004; pedido de revisão em out. 2025</w:t>
            </w:r>
          </w:p>
        </w:tc>
        <w:tc>
          <w:tcPr>
            <w:tcW w:type="dxa" w:w="1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Acordo: 35; capacidade: 50</w:t>
            </w:r>
          </w:p>
        </w:tc>
        <w:tc>
          <w:tcPr>
            <w:tcW w:type="dxa" w:w="23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61 processos ativos + 17 “passantes”</w:t>
            </w:r>
          </w:p>
        </w:tc>
      </w:tr>
      <w:tr>
        <w:trPr>
          <w:cantSplit/>
        </w:trPr>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Distribuição de bens alimentares</w:t>
            </w:r>
          </w:p>
        </w:tc>
        <w:tc>
          <w:tcPr>
            <w:tcW w:type="dxa" w:w="3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Programa de Privação Material (PESSOAS 2030), GASC como entidade mediadora do Banco Alimentar de Braga</w:t>
            </w:r>
          </w:p>
        </w:tc>
        <w:tc>
          <w:tcPr>
            <w:tcW w:type="dxa" w:w="1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274 diretos + 195 indiretos</w:t>
            </w:r>
          </w:p>
        </w:tc>
        <w:tc>
          <w:tcPr>
            <w:tcW w:type="dxa" w:w="23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1 038 beneficiários; 2 729 cabazes</w:t>
            </w:r>
          </w:p>
        </w:tc>
      </w:tr>
      <w:tr>
        <w:trPr>
          <w:cantSplit/>
        </w:trPr>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Cantina Social</w:t>
            </w:r>
          </w:p>
        </w:tc>
        <w:tc>
          <w:tcPr>
            <w:tcW w:type="dxa" w:w="3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Programa de Emergência Alimentar (ISS), desde 2013</w:t>
            </w:r>
          </w:p>
        </w:tc>
        <w:tc>
          <w:tcPr>
            <w:tcW w:type="dxa" w:w="1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10 refeições/dia</w:t>
            </w:r>
          </w:p>
        </w:tc>
        <w:tc>
          <w:tcPr>
            <w:tcW w:type="dxa" w:w="23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11 processos; cerca de 247 refeições/mês</w:t>
            </w:r>
          </w:p>
        </w:tc>
      </w:tr>
      <w:tr>
        <w:trPr>
          <w:cantSplit/>
        </w:trPr>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SAAS (atendimento e acompanhamento social)</w:t>
            </w:r>
          </w:p>
        </w:tc>
        <w:tc>
          <w:tcPr>
            <w:tcW w:type="dxa" w:w="3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Transferência de competências desde abril de 2023 (Câmara / Segurança Social)</w:t>
            </w:r>
          </w:p>
        </w:tc>
        <w:tc>
          <w:tcPr>
            <w:tcW w:type="dxa" w:w="1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26 freguesias</w:t>
            </w:r>
          </w:p>
        </w:tc>
        <w:tc>
          <w:tcPr>
            <w:tcW w:type="dxa" w:w="23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1 384 beneficiários (979 em RSI)</w:t>
            </w:r>
          </w:p>
        </w:tc>
      </w:tr>
      <w:tr>
        <w:trPr>
          <w:cantSplit/>
        </w:trPr>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Projeto Sorrir</w:t>
            </w:r>
          </w:p>
        </w:tc>
        <w:tc>
          <w:tcPr>
            <w:tcW w:type="dxa" w:w="3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ICAD/PORI, VII edição terminada a 30/11/2025, com cofinanciamento da Câmara e APAC</w:t>
            </w:r>
          </w:p>
        </w:tc>
        <w:tc>
          <w:tcPr>
            <w:tcW w:type="dxa" w:w="1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Meta: 300 utentes</w:t>
            </w:r>
          </w:p>
        </w:tc>
        <w:tc>
          <w:tcPr>
            <w:tcW w:type="dxa" w:w="23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411 utentes (341 H / 70 M)</w:t>
            </w:r>
          </w:p>
        </w:tc>
      </w:tr>
      <w:tr>
        <w:trPr>
          <w:cantSplit/>
        </w:trPr>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Um Teto Para Todos 1.0 e 2.0</w:t>
            </w:r>
          </w:p>
        </w:tc>
        <w:tc>
          <w:tcPr>
            <w:tcW w:type="dxa" w:w="3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Protocolos com o ISS; IHRU; Câmara</w:t>
            </w:r>
          </w:p>
        </w:tc>
        <w:tc>
          <w:tcPr>
            <w:tcW w:type="dxa" w:w="1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34 vagas protocoladas</w:t>
            </w:r>
          </w:p>
        </w:tc>
        <w:tc>
          <w:tcPr>
            <w:tcW w:type="dxa" w:w="23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24 em funcionamento (6 apartamentos); 23 pessoas</w:t>
            </w:r>
          </w:p>
        </w:tc>
      </w:tr>
      <w:tr>
        <w:trPr>
          <w:cantSplit/>
        </w:trPr>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BarcELOS d’Abrigo</w:t>
            </w:r>
          </w:p>
        </w:tc>
        <w:tc>
          <w:tcPr>
            <w:tcW w:type="dxa" w:w="3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Projeto municipal com apoio técnico do GASC</w:t>
            </w:r>
          </w:p>
        </w:tc>
        <w:tc>
          <w:tcPr>
            <w:tcW w:type="dxa" w:w="1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w:t>
            </w:r>
          </w:p>
        </w:tc>
        <w:tc>
          <w:tcPr>
            <w:tcW w:type="dxa" w:w="23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201 pessoas; 66 sem teto</w:t>
            </w:r>
          </w:p>
        </w:tc>
      </w:tr>
      <w:tr>
        <w:trPr>
          <w:cantSplit/>
        </w:trPr>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Housing First 1.0 e 2.0</w:t>
            </w:r>
          </w:p>
        </w:tc>
        <w:tc>
          <w:tcPr>
            <w:tcW w:type="dxa" w:w="3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ISS (150 €/utente HF 1.0; 200 € HF 2.0) e rendas pagas pela Câmara</w:t>
            </w:r>
          </w:p>
        </w:tc>
        <w:tc>
          <w:tcPr>
            <w:tcW w:type="dxa" w:w="1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10 vagas</w:t>
            </w:r>
          </w:p>
        </w:tc>
        <w:tc>
          <w:tcPr>
            <w:tcW w:type="dxa" w:w="23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8 preenchidas; 10 pessoas apoiadas</w:t>
            </w:r>
          </w:p>
        </w:tc>
      </w:tr>
    </w:tbl>
    <w:p>
      <w:pPr>
        <w:spacing w:after="120"/>
      </w:pPr>
    </w:p>
    <w:p>
      <w:pPr>
        <w:pStyle w:val="Heading2"/>
      </w:pPr>
      <w:r>
        <w:t xml:space="preserve">5.1 Violência doméstica</w:t>
      </w:r>
    </w:p>
    <w:p>
      <w:pPr>
        <w:spacing w:after="120" w:line="288"/>
      </w:pPr>
      <w:r>
        <w:t xml:space="preserve">É a área com mais continuidade histórica e maior reconhecimento institucional. Os projetos foram sendo encadeados: A Teu Lado (2011), SER (2016), SER IGUAL (2019), CorAção com Voz (2021) e SER VOZ (2024). O Centro de Apoio à Mulher tem 10 vagas e está certificado na Rede Nacional de Apoio às Vítimas de Violência Doméstica.</w:t>
      </w:r>
    </w:p>
    <w:p>
      <w:pPr>
        <w:pStyle w:val="ListParagraph"/>
        <w:numPr>
          <w:ilvl w:val="0"/>
          <w:numId w:val="2"/>
        </w:numPr>
        <w:spacing w:after="70" w:line="276"/>
      </w:pPr>
      <w:r>
        <w:t xml:space="preserve"/>
      </w:r>
      <w:r>
        <w:rPr>
          <w:b/>
          <w:bCs/>
        </w:rPr>
        <w:t xml:space="preserve">Produtos de conhecimento:</w:t>
      </w:r>
      <w:r>
        <w:t xml:space="preserve"> o manual “Intervenção do Direito na Violência Doméstica – Manual de Boas-Práticas para Advogados/as” (dez. 2022) é um ativo transferível.</w:t>
      </w:r>
    </w:p>
    <w:p>
      <w:pPr>
        <w:pStyle w:val="ListParagraph"/>
        <w:numPr>
          <w:ilvl w:val="0"/>
          <w:numId w:val="2"/>
        </w:numPr>
        <w:spacing w:after="70" w:line="276"/>
      </w:pPr>
      <w:r>
        <w:t xml:space="preserve"/>
      </w:r>
      <w:r>
        <w:rPr>
          <w:b/>
          <w:bCs/>
        </w:rPr>
        <w:t xml:space="preserve">Reconhecimento:</w:t>
      </w:r>
      <w:r>
        <w:t xml:space="preserve"> Selo Municipal para a Igualdade e Conciliação (1.ª edição, out. 2023, CIM Cávado, júri com a CIG).</w:t>
      </w:r>
    </w:p>
    <w:p>
      <w:pPr>
        <w:pStyle w:val="ListParagraph"/>
        <w:numPr>
          <w:ilvl w:val="0"/>
          <w:numId w:val="2"/>
        </w:numPr>
        <w:spacing w:after="70" w:line="276"/>
      </w:pPr>
      <w:r>
        <w:t xml:space="preserve"/>
      </w:r>
      <w:r>
        <w:rPr>
          <w:b/>
          <w:bCs/>
        </w:rPr>
        <w:t xml:space="preserve">Volume:</w:t>
      </w:r>
      <w:r>
        <w:t xml:space="preserve"> o SER VOZ superou a meta contratada (1 896 atendimentos contra 1 314), o que é positivo, mas também sinal de procura acima do previsto.</w:t>
      </w:r>
    </w:p>
    <w:p>
      <w:pPr>
        <w:pStyle w:val="ListParagraph"/>
        <w:numPr>
          <w:ilvl w:val="0"/>
          <w:numId w:val="2"/>
        </w:numPr>
        <w:spacing w:after="70" w:line="276"/>
      </w:pPr>
      <w:r>
        <w:t xml:space="preserve"/>
      </w:r>
      <w:r>
        <w:rPr>
          <w:b/>
          <w:bCs/>
        </w:rPr>
        <w:t xml:space="preserve">Contexto:</w:t>
      </w:r>
      <w:r>
        <w:t xml:space="preserve"> a CPCJ de Barcelos registou 165 casos de violência doméstica como a 2.ª problemática mais sinalizada; a nível nacional, houve 29 828 participações em 2025.</w:t>
      </w:r>
    </w:p>
    <w:p>
      <w:pPr>
        <w:pStyle w:val="Heading2"/>
      </w:pPr>
      <w:r>
        <w:t xml:space="preserve">5.2 Dependências</w:t>
      </w:r>
    </w:p>
    <w:p>
      <w:pPr>
        <w:spacing w:after="120" w:line="288"/>
      </w:pPr>
      <w:r>
        <w:t xml:space="preserve">O Projeto Sorrir (tratamento) acompanha 411 utentes, acima da meta de 300, o que mostra pressão na resposta. O Projeto PES (prevenção) e o “Cooperar para Mudar” (Plano Municipal de Prevenção Primária) completam o eixo. Os contratos públicos de 2026 (psiquiatria 38 400 € e serviços médicos 25 000 €) indicam continuidade da equipa clínica, mas o relatório de 2025 regista “apreensão” pela ausência de novo concurso do ICAD.</w:t>
      </w:r>
    </w:p>
    <w:p>
      <w:pPr>
        <w:pStyle w:val="ListParagraph"/>
        <w:numPr>
          <w:ilvl w:val="0"/>
          <w:numId w:val="2"/>
        </w:numPr>
        <w:spacing w:after="70" w:line="276"/>
      </w:pPr>
      <w:r>
        <w:t xml:space="preserve">Existe forte enviesamento de género nos utentes (341 homens e 70 mulheres), o que pode refletir barreiras de acesso das mulheres e não menor necessidade.</w:t>
      </w:r>
    </w:p>
    <w:p>
      <w:pPr>
        <w:pStyle w:val="ListParagraph"/>
        <w:numPr>
          <w:ilvl w:val="0"/>
          <w:numId w:val="2"/>
        </w:numPr>
        <w:spacing w:after="70" w:line="276"/>
      </w:pPr>
      <w:r>
        <w:t xml:space="preserve">O projeto “Não Desistas de Ti!” (saúde mental, Fundação “la Caixa”/BPI, 2024–2025) reforça a articulação com a saúde mental.</w:t>
      </w:r>
    </w:p>
    <w:p>
      <w:pPr>
        <w:pStyle w:val="Heading2"/>
      </w:pPr>
      <w:r>
        <w:t xml:space="preserve">5.3 Carência socioeconómica</w:t>
      </w:r>
    </w:p>
    <w:p>
      <w:pPr>
        <w:spacing w:after="120" w:line="288"/>
      </w:pPr>
      <w:r>
        <w:t xml:space="preserve">É a área de maior volume. O Refeitório Social funciona 365 dias por ano; a Cantina Social, o SAAS (1 384 beneficiários), a distribuição de bens alimentares (2 729 cabazes) e a loja social completam o dispositivo. O GASC recebe bens em espécie de grandes superfícies (Modelo Continente, Jerónimo Martins, Mercadona, Intermarché e Froiz) e de dezenas de comerciantes locais.</w:t>
      </w:r>
    </w:p>
    <w:p>
      <w:pPr>
        <w:pStyle w:val="ListParagraph"/>
        <w:numPr>
          <w:ilvl w:val="0"/>
          <w:numId w:val="2"/>
        </w:numPr>
        <w:spacing w:after="70" w:line="276"/>
      </w:pPr>
      <w:r>
        <w:t xml:space="preserve">O Refeitório Social serve </w:t>
      </w:r>
      <w:r>
        <w:rPr>
          <w:b/>
          <w:bCs/>
        </w:rPr>
        <w:t xml:space="preserve">61 processos ativos</w:t>
      </w:r>
      <w:r>
        <w:t xml:space="preserve"> com um acordo que só cobre </w:t>
      </w:r>
      <w:r>
        <w:rPr>
          <w:b/>
          <w:bCs/>
        </w:rPr>
        <w:t xml:space="preserve">35</w:t>
      </w:r>
      <w:r>
        <w:t xml:space="preserve"> utentes. O GASC já pediu a revisão (out. 2025) e propôs reconvertê-lo em “Casa Raiz”, um centro de recursos.</w:t>
      </w:r>
    </w:p>
    <w:p>
      <w:pPr>
        <w:pStyle w:val="ListParagraph"/>
        <w:numPr>
          <w:ilvl w:val="0"/>
          <w:numId w:val="2"/>
        </w:numPr>
        <w:spacing w:after="70" w:line="276"/>
      </w:pPr>
      <w:r>
        <w:t xml:space="preserve">O Mapa Social regista 720 utentes de Ajuda Alimentar para uma capacidade registada de 637; os registos oficiais estão desatualizados face à realidade.</w:t>
      </w:r>
    </w:p>
    <w:p>
      <w:pPr>
        <w:pStyle w:val="Heading2"/>
      </w:pPr>
      <w:r>
        <w:t xml:space="preserve">5.4 Pessoas em situação de sem-abrigo</w:t>
      </w:r>
    </w:p>
    <w:p>
      <w:pPr>
        <w:spacing w:after="120" w:line="288"/>
      </w:pPr>
      <w:r>
        <w:t xml:space="preserve">É a área de maior visibilidade em 2025–2026. O Um Teto Para Todos (desde 2013), o Housing First e a equipa BarcELOS d’Abrigo (desde ago. 2023) sustentam os resultados divulgados pelo Inquérito ENIPSSA 2024: </w:t>
      </w:r>
      <w:r>
        <w:rPr>
          <w:b/>
          <w:bCs/>
        </w:rPr>
        <w:t xml:space="preserve">107 pessoas saíram da situação de sem-abrigo em Barcelos</w:t>
      </w:r>
      <w:r>
        <w:t xml:space="preserve">, o valor mais alto do país (cerca de 8 % do total nacional). Em dezembro de 2025, 3 pessoas dormiam na rua, 36 estavam alojadas e 102 estavam em risco.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702A" w:sz="24"/>
              <w:bottom w:val="none" w:color="FFFFFF" w:sz="0"/>
              <w:right w:val="none" w:color="FFFFFF" w:sz="0"/>
            </w:tcBorders>
            <w:shd w:fill="E8F0F2" w:color="auto" w:val="clear"/>
            <w:tcMar>
              <w:top w:type="dxa" w:w="100"/>
              <w:left w:type="dxa" w:w="160"/>
              <w:bottom w:type="dxa" w:w="100"/>
              <w:right w:type="dxa" w:w="140"/>
            </w:tcMar>
          </w:tcPr>
          <w:p>
            <w:pPr>
              <w:spacing w:after="60"/>
            </w:pPr>
            <w:r>
              <w:rPr>
                <w:b/>
                <w:bCs/>
                <w:color w:val="1F4E5F"/>
                <w:sz w:val="21"/>
                <w:szCs w:val="21"/>
              </w:rPr>
              <w:t xml:space="preserve">Atenção à atribuição de mérito</w:t>
            </w:r>
          </w:p>
          <w:p>
            <w:pPr>
              <w:spacing w:after="60"/>
            </w:pPr>
            <w:r>
              <w:rPr>
                <w:sz w:val="20"/>
                <w:szCs w:val="20"/>
              </w:rPr>
              <w:t xml:space="preserve">Nem todos estes projetos têm o GASC como beneficiário formal. O Projeto Sou+ (135 000 €) é do Município de Barcelos; o BarcELOS d’Abrigo (cerca de 103 000 €/ano) e o futuro Centro de Alojamento Temporário (2,3 M€, PRR) são municipais. O GASC é o parceiro técnico e operacional. Isto é uma força (rede e confiança) e uma vulnerabilidade (dependência do Município), e é essencial que o GASC consiga demonstrar o seu contributo específico.</w:t>
            </w:r>
          </w:p>
        </w:tc>
      </w:tr>
    </w:tbl>
    <w:p>
      <w:pPr>
        <w:spacing w:after="120"/>
      </w:pPr>
    </w:p>
    <w:p>
      <w:pPr>
        <w:pStyle w:val="Heading1"/>
      </w:pPr>
      <w:r>
        <w:t xml:space="preserve">6. Parcerias e governação</w:t>
      </w:r>
    </w:p>
    <w:p>
      <w:pPr>
        <w:spacing w:after="120" w:line="288"/>
      </w:pPr>
      <w:r>
        <w:t xml:space="preserve">A página de parcerias do GASC lista mais de 50 entidades. Os grupos mais relevantes são:</w:t>
      </w:r>
    </w:p>
    <w:p>
      <w:pPr>
        <w:pStyle w:val="ListParagraph"/>
        <w:numPr>
          <w:ilvl w:val="0"/>
          <w:numId w:val="2"/>
        </w:numPr>
        <w:spacing w:after="70" w:line="276"/>
      </w:pPr>
      <w:r>
        <w:t xml:space="preserve"/>
      </w:r>
      <w:r>
        <w:rPr>
          <w:b/>
          <w:bCs/>
        </w:rPr>
        <w:t xml:space="preserve">Institucionais:</w:t>
      </w:r>
      <w:r>
        <w:t xml:space="preserve"> ISS/Centro Distrital de Braga, Câmara Municipal de Barcelos, CIG, IHRU, IEFP, CPCJ, ACES/ULS, Câmara de Esposende (CorAção com Voz).</w:t>
      </w:r>
    </w:p>
    <w:p>
      <w:pPr>
        <w:pStyle w:val="ListParagraph"/>
        <w:numPr>
          <w:ilvl w:val="0"/>
          <w:numId w:val="2"/>
        </w:numPr>
        <w:spacing w:after="70" w:line="276"/>
      </w:pPr>
      <w:r>
        <w:t xml:space="preserve"/>
      </w:r>
      <w:r>
        <w:rPr>
          <w:b/>
          <w:bCs/>
        </w:rPr>
        <w:t xml:space="preserve">Sociais:</w:t>
      </w:r>
      <w:r>
        <w:t xml:space="preserve"> Santa Casa da Misericórdia, Cruz Vermelha (Barcelos), Banco Alimentar Contra a Fome, Médicos do Mundo, APACI, Cáritas, ARCA e Sopro ONG.</w:t>
      </w:r>
    </w:p>
    <w:p>
      <w:pPr>
        <w:pStyle w:val="ListParagraph"/>
        <w:numPr>
          <w:ilvl w:val="0"/>
          <w:numId w:val="2"/>
        </w:numPr>
        <w:spacing w:after="70" w:line="276"/>
      </w:pPr>
      <w:r>
        <w:t xml:space="preserve"/>
      </w:r>
      <w:r>
        <w:rPr>
          <w:b/>
          <w:bCs/>
        </w:rPr>
        <w:t xml:space="preserve">Empresas:</w:t>
      </w:r>
      <w:r>
        <w:t xml:space="preserve"> cadeias de supermercados, talhos, pastelarias, uma clínica dentária, farmácia, ginásios e escola de dança (cedências em espécie e serviços).</w:t>
      </w:r>
    </w:p>
    <w:p>
      <w:pPr>
        <w:spacing w:after="120" w:line="288"/>
      </w:pPr>
      <w:r>
        <w:t xml:space="preserve"/>
      </w:r>
      <w:r>
        <w:rPr>
          <w:b/>
          <w:bCs/>
        </w:rPr>
        <w:t xml:space="preserve">Governação:</w:t>
      </w:r>
      <w:r>
        <w:t xml:space="preserve"> a Direção é composta por voluntários (23 dirigentes) e a gestão executiva assenta numa coordenadora geral. Não foi possível verificar a composição completa dos órgãos sociais, porque os relatórios de contas são PDF digitalizados. Recomenda-se publicá-la em texto no site.</w:t>
      </w:r>
    </w:p>
    <w:p>
      <w:pPr>
        <w:pStyle w:val="Heading1"/>
      </w:pPr>
      <w:r>
        <w:t xml:space="preserve">7. Análise financeira</w:t>
      </w:r>
    </w:p>
    <w:p>
      <w:pPr>
        <w:pStyle w:val="Heading2"/>
      </w:pPr>
      <w:r>
        <w:t xml:space="preserve">7.1 Evolução 2022–2025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500"/>
        <w:gridCol w:w="1500"/>
        <w:gridCol w:w="1438"/>
      </w:tblGrid>
      <w:tr>
        <w:trPr>
          <w:cantSplit/>
          <w:tblHeader/>
        </w:trPr>
        <w:tc>
          <w:tcPr>
            <w:tcW w:type="dxa" w:w="37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Rubrica (€)</w:t>
            </w:r>
          </w:p>
        </w:tc>
        <w:tc>
          <w:tcPr>
            <w:tcW w:type="dxa" w:w="15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2022</w:t>
            </w:r>
          </w:p>
        </w:tc>
        <w:tc>
          <w:tcPr>
            <w:tcW w:type="dxa" w:w="15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2023</w:t>
            </w:r>
          </w:p>
        </w:tc>
        <w:tc>
          <w:tcPr>
            <w:tcW w:type="dxa" w:w="15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2024</w:t>
            </w:r>
          </w:p>
        </w:tc>
        <w:tc>
          <w:tcPr>
            <w:tcW w:type="dxa" w:w="143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2025</w:t>
            </w:r>
          </w:p>
        </w:tc>
      </w:tr>
      <w:tr>
        <w:trPr>
          <w:cantSplit/>
        </w:trPr>
        <w:tc>
          <w:tcPr>
            <w:tcW w:type="dxa" w:w="3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Subsídios, doações e legados à exploração</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515 000</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1 028 219</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1 130 031</w:t>
            </w:r>
          </w:p>
        </w:tc>
        <w:tc>
          <w:tcPr>
            <w:tcW w:type="dxa" w:w="14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1 392 136</w:t>
            </w:r>
          </w:p>
        </w:tc>
      </w:tr>
      <w:tr>
        <w:trPr>
          <w:cantSplit/>
        </w:trPr>
        <w:tc>
          <w:tcPr>
            <w:tcW w:type="dxa" w:w="37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dos quais ISS, I.P.</w:t>
            </w:r>
          </w:p>
        </w:tc>
        <w:tc>
          <w:tcPr>
            <w:tcW w:type="dxa" w:w="15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351 279</w:t>
            </w:r>
          </w:p>
        </w:tc>
        <w:tc>
          <w:tcPr>
            <w:tcW w:type="dxa" w:w="15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412 503</w:t>
            </w:r>
          </w:p>
        </w:tc>
        <w:tc>
          <w:tcPr>
            <w:tcW w:type="dxa" w:w="15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391 331</w:t>
            </w:r>
          </w:p>
        </w:tc>
        <w:tc>
          <w:tcPr>
            <w:tcW w:type="dxa" w:w="14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479 073</w:t>
            </w:r>
          </w:p>
        </w:tc>
      </w:tr>
      <w:tr>
        <w:trPr>
          <w:cantSplit/>
        </w:trPr>
        <w:tc>
          <w:tcPr>
            <w:tcW w:type="dxa" w:w="3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dos quais “Outros” (não desagregado)</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163 721</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615 716</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738 699</w:t>
            </w:r>
          </w:p>
        </w:tc>
        <w:tc>
          <w:tcPr>
            <w:tcW w:type="dxa" w:w="14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913 064</w:t>
            </w:r>
          </w:p>
        </w:tc>
      </w:tr>
      <w:tr>
        <w:trPr>
          <w:cantSplit/>
        </w:trPr>
        <w:tc>
          <w:tcPr>
            <w:tcW w:type="dxa" w:w="37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Custo das mercadorias (CMVMC)</w:t>
            </w:r>
          </w:p>
        </w:tc>
        <w:tc>
          <w:tcPr>
            <w:tcW w:type="dxa" w:w="15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−149 725</w:t>
            </w:r>
          </w:p>
        </w:tc>
        <w:tc>
          <w:tcPr>
            <w:tcW w:type="dxa" w:w="15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−183 127</w:t>
            </w:r>
          </w:p>
        </w:tc>
        <w:tc>
          <w:tcPr>
            <w:tcW w:type="dxa" w:w="15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−210 028</w:t>
            </w:r>
          </w:p>
        </w:tc>
        <w:tc>
          <w:tcPr>
            <w:tcW w:type="dxa" w:w="14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−272 021</w:t>
            </w:r>
          </w:p>
        </w:tc>
      </w:tr>
      <w:tr>
        <w:trPr>
          <w:cantSplit/>
        </w:trPr>
        <w:tc>
          <w:tcPr>
            <w:tcW w:type="dxa" w:w="3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Fornecimentos e serviços externos</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−87 066</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−147 767</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−168 965</w:t>
            </w:r>
          </w:p>
        </w:tc>
        <w:tc>
          <w:tcPr>
            <w:tcW w:type="dxa" w:w="14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−200 094</w:t>
            </w:r>
          </w:p>
        </w:tc>
      </w:tr>
      <w:tr>
        <w:trPr>
          <w:cantSplit/>
        </w:trPr>
        <w:tc>
          <w:tcPr>
            <w:tcW w:type="dxa" w:w="37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Gastos com pessoal</w:t>
            </w:r>
          </w:p>
        </w:tc>
        <w:tc>
          <w:tcPr>
            <w:tcW w:type="dxa" w:w="15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−399 775</w:t>
            </w:r>
          </w:p>
        </w:tc>
        <w:tc>
          <w:tcPr>
            <w:tcW w:type="dxa" w:w="15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−662 681</w:t>
            </w:r>
          </w:p>
        </w:tc>
        <w:tc>
          <w:tcPr>
            <w:tcW w:type="dxa" w:w="15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−747 483</w:t>
            </w:r>
          </w:p>
        </w:tc>
        <w:tc>
          <w:tcPr>
            <w:tcW w:type="dxa" w:w="14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jc w:val="right"/>
            </w:pPr>
            <w:r>
              <w:rPr>
                <w:sz w:val="18"/>
                <w:szCs w:val="18"/>
              </w:rPr>
              <w:t xml:space="preserve">−902 189</w:t>
            </w:r>
          </w:p>
        </w:tc>
      </w:tr>
      <w:tr>
        <w:trPr>
          <w:cantSplit/>
        </w:trPr>
        <w:tc>
          <w:tcPr>
            <w:tcW w:type="dxa" w:w="37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Resultado líquido</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8 246</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22 258</w:t>
            </w:r>
          </w:p>
        </w:tc>
        <w:tc>
          <w:tcPr>
            <w:tcW w:type="dxa" w:w="15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1 340</w:t>
            </w:r>
          </w:p>
        </w:tc>
        <w:tc>
          <w:tcPr>
            <w:tcW w:type="dxa" w:w="14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jc w:val="right"/>
            </w:pPr>
            <w:r>
              <w:rPr>
                <w:sz w:val="18"/>
                <w:szCs w:val="18"/>
              </w:rPr>
              <w:t xml:space="preserve">29 896</w:t>
            </w:r>
          </w:p>
        </w:tc>
      </w:tr>
    </w:tbl>
    <w:p>
      <w:pPr>
        <w:spacing w:after="120"/>
      </w:pPr>
    </w:p>
    <w:p>
      <w:pPr>
        <w:spacing w:after="120" w:line="288"/>
      </w:pPr>
      <w:r>
        <w:t xml:space="preserve">Os proveitos totais de 2025 foram de </w:t>
      </w:r>
      <w:r>
        <w:rPr>
          <w:b/>
          <w:bCs/>
        </w:rPr>
        <w:t xml:space="preserve">1 421 169 €</w:t>
      </w:r>
      <w:r>
        <w:t xml:space="preserve"> (subsídios 73,65 %, donativos e doações 24,30 %, outros 2,05 %) e os custos de 1 391 273 € (pessoal 64,85 %, CMVMC 19,55 %, FSE 14,38 %). Os donativos cresceram de 243 709 € (2024) para 345 387 € (2025), um aumento de cerca de 42 %.</w:t>
      </w:r>
    </w:p>
    <w:p>
      <w:pPr>
        <w:pStyle w:val="Heading2"/>
      </w:pPr>
      <w:r>
        <w:t xml:space="preserve">7.2 Balanço em 31/12/2025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738"/>
      </w:tblGrid>
      <w:tr>
        <w:trPr>
          <w:cantSplit/>
          <w:tblHeader/>
        </w:trPr>
        <w:tc>
          <w:tcPr>
            <w:tcW w:type="dxa" w:w="29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Indicador</w:t>
            </w:r>
          </w:p>
        </w:tc>
        <w:tc>
          <w:tcPr>
            <w:tcW w:type="dxa" w:w="20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Valor</w:t>
            </w:r>
          </w:p>
        </w:tc>
        <w:tc>
          <w:tcPr>
            <w:tcW w:type="dxa" w:w="473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Leitura</w:t>
            </w:r>
          </w:p>
        </w:tc>
      </w:tr>
      <w:tr>
        <w:trPr>
          <w:cantSplit/>
        </w:trPr>
        <w:tc>
          <w:tcPr>
            <w:tcW w:type="dxa" w:w="2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Ativo total</w:t>
            </w:r>
          </w:p>
        </w:tc>
        <w:tc>
          <w:tcPr>
            <w:tcW w:type="dxa" w:w="20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736 204 €</w:t>
            </w:r>
          </w:p>
        </w:tc>
        <w:tc>
          <w:tcPr>
            <w:tcW w:type="dxa" w:w="47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Cresceu 14 % face a 2024</w:t>
            </w:r>
          </w:p>
        </w:tc>
      </w:tr>
      <w:tr>
        <w:trPr>
          <w:cantSplit/>
        </w:trPr>
        <w:tc>
          <w:tcPr>
            <w:tcW w:type="dxa" w:w="2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Caixa e depósitos</w:t>
            </w:r>
          </w:p>
        </w:tc>
        <w:tc>
          <w:tcPr>
            <w:tcW w:type="dxa" w:w="20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431 569 €</w:t>
            </w:r>
          </w:p>
        </w:tc>
        <w:tc>
          <w:tcPr>
            <w:tcW w:type="dxa" w:w="47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Equivale a cerca de 3,7 meses de custos</w:t>
            </w:r>
          </w:p>
        </w:tc>
      </w:tr>
      <w:tr>
        <w:trPr>
          <w:cantSplit/>
        </w:trPr>
        <w:tc>
          <w:tcPr>
            <w:tcW w:type="dxa" w:w="2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Capital próprio</w:t>
            </w:r>
          </w:p>
        </w:tc>
        <w:tc>
          <w:tcPr>
            <w:tcW w:type="dxa" w:w="20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453 523 €</w:t>
            </w:r>
          </w:p>
        </w:tc>
        <w:tc>
          <w:tcPr>
            <w:tcW w:type="dxa" w:w="47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Autonomia financeira de 61,6 %</w:t>
            </w:r>
          </w:p>
        </w:tc>
      </w:tr>
      <w:tr>
        <w:trPr>
          <w:cantSplit/>
        </w:trPr>
        <w:tc>
          <w:tcPr>
            <w:tcW w:type="dxa" w:w="2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Passivo total</w:t>
            </w:r>
          </w:p>
        </w:tc>
        <w:tc>
          <w:tcPr>
            <w:tcW w:type="dxa" w:w="20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282 681 €</w:t>
            </w:r>
          </w:p>
        </w:tc>
        <w:tc>
          <w:tcPr>
            <w:tcW w:type="dxa" w:w="47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Sem passivo não corrente; sem dívida bancária</w:t>
            </w:r>
          </w:p>
        </w:tc>
      </w:tr>
      <w:tr>
        <w:trPr>
          <w:cantSplit/>
        </w:trPr>
        <w:tc>
          <w:tcPr>
            <w:tcW w:type="dxa" w:w="2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Liquidez geral</w:t>
            </w:r>
          </w:p>
        </w:tc>
        <w:tc>
          <w:tcPr>
            <w:tcW w:type="dxa" w:w="20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1,99</w:t>
            </w:r>
          </w:p>
        </w:tc>
        <w:tc>
          <w:tcPr>
            <w:tcW w:type="dxa" w:w="47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Confortável</w:t>
            </w:r>
          </w:p>
        </w:tc>
      </w:tr>
      <w:tr>
        <w:trPr>
          <w:cantSplit/>
        </w:trPr>
        <w:tc>
          <w:tcPr>
            <w:tcW w:type="dxa" w:w="2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Investimento em 2025</w:t>
            </w:r>
          </w:p>
        </w:tc>
        <w:tc>
          <w:tcPr>
            <w:tcW w:type="dxa" w:w="20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59 855 €</w:t>
            </w:r>
          </w:p>
        </w:tc>
        <w:tc>
          <w:tcPr>
            <w:tcW w:type="dxa" w:w="47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Remodelação da sede (42 755 €) e viatura (17 100 €)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702A" w:sz="24"/>
              <w:bottom w:val="none" w:color="FFFFFF" w:sz="0"/>
              <w:right w:val="none" w:color="FFFFFF" w:sz="0"/>
            </w:tcBorders>
            <w:shd w:fill="E8F0F2" w:color="auto" w:val="clear"/>
            <w:tcMar>
              <w:top w:type="dxa" w:w="100"/>
              <w:left w:type="dxa" w:w="160"/>
              <w:bottom w:type="dxa" w:w="100"/>
              <w:right w:type="dxa" w:w="140"/>
            </w:tcMar>
          </w:tcPr>
          <w:p>
            <w:pPr>
              <w:spacing w:after="60"/>
            </w:pPr>
            <w:r>
              <w:rPr>
                <w:b/>
                <w:bCs/>
                <w:color w:val="1F4E5F"/>
                <w:sz w:val="21"/>
                <w:szCs w:val="21"/>
              </w:rPr>
              <w:t xml:space="preserve">Leitura crítica</w:t>
            </w:r>
          </w:p>
          <w:p>
            <w:pPr>
              <w:spacing w:after="60"/>
            </w:pPr>
            <w:r>
              <w:rPr>
                <w:sz w:val="20"/>
                <w:szCs w:val="20"/>
              </w:rPr>
              <w:t xml:space="preserve"/>
            </w:r>
            <w:r>
              <w:rPr>
                <w:b/>
                <w:bCs/>
                <w:sz w:val="20"/>
                <w:szCs w:val="20"/>
              </w:rPr>
              <w:t xml:space="preserve">Solidez:</w:t>
            </w:r>
            <w:r>
              <w:rPr>
                <w:sz w:val="20"/>
                <w:szCs w:val="20"/>
              </w:rPr>
              <w:t xml:space="preserve"> a instituição não tem dívida e tem liquidez. É um ativo raro no setor e um argumento forte para financiadores e mecenas.</w:t>
            </w:r>
          </w:p>
          <w:p>
            <w:pPr>
              <w:spacing w:after="60"/>
            </w:pPr>
            <w:r>
              <w:rPr>
                <w:sz w:val="20"/>
                <w:szCs w:val="20"/>
              </w:rPr>
              <w:t xml:space="preserve"/>
            </w:r>
            <w:r>
              <w:rPr>
                <w:b/>
                <w:bCs/>
                <w:sz w:val="20"/>
                <w:szCs w:val="20"/>
              </w:rPr>
              <w:t xml:space="preserve">Fragilidade:</w:t>
            </w:r>
            <w:r>
              <w:rPr>
                <w:sz w:val="20"/>
                <w:szCs w:val="20"/>
              </w:rPr>
              <w:t xml:space="preserve"> a margem líquida foi de apenas 0,12 % em 2024 e 2,1 % em 2025; parte substancial da caixa é provavelmente adiantamento de projetos (a validar), pelo que não deve ser lida como reserva livre. Os juros obtidos foram nulos em 2025, embora o orçamento de 2026 preveja 7 300 €.</w:t>
            </w:r>
          </w:p>
          <w:p>
            <w:pPr>
              <w:spacing w:after="60"/>
            </w:pPr>
            <w:r>
              <w:rPr>
                <w:sz w:val="20"/>
                <w:szCs w:val="20"/>
              </w:rPr>
              <w:t xml:space="preserve"/>
            </w:r>
            <w:r>
              <w:rPr>
                <w:b/>
                <w:bCs/>
                <w:sz w:val="20"/>
                <w:szCs w:val="20"/>
              </w:rPr>
              <w:t xml:space="preserve">Orçamento 2026:</w:t>
            </w:r>
            <w:r>
              <w:rPr>
                <w:sz w:val="20"/>
                <w:szCs w:val="20"/>
              </w:rPr>
              <w:t xml:space="preserve"> proveitos previstos de 1 737 600 €, custos de 1 722 330 € e resultado de 15 270 €. Isto exige +23,7 % de subsídios e +28,5 % de despesas com pessoal (1 159 650 €). A própria Direção admite a necessidade de “receitas extraordinárias” para o tornar exequível.</w:t>
            </w:r>
          </w:p>
        </w:tc>
      </w:tr>
    </w:tbl>
    <w:p>
      <w:pPr>
        <w:spacing w:after="120"/>
      </w:pPr>
    </w:p>
    <w:p>
      <w:pPr>
        <w:pStyle w:val="Heading2"/>
      </w:pPr>
      <w:r>
        <w:t xml:space="preserve">7.3 Fontes de financiamento identificadas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Fonte</w:t>
            </w:r>
          </w:p>
        </w:tc>
        <w:tc>
          <w:tcPr>
            <w:tcW w:type="dxa" w:w="38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Detalhe</w:t>
            </w:r>
          </w:p>
        </w:tc>
        <w:tc>
          <w:tcPr>
            <w:tcW w:type="dxa" w:w="353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Valor confirmado</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PESSOAS 2030 / FSE+</w:t>
            </w:r>
          </w:p>
        </w:tc>
        <w:tc>
          <w:tcPr>
            <w:tcW w:type="dxa" w:w="38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SER VOZ (01/07/2024–01/07/2027)</w:t>
            </w:r>
          </w:p>
        </w:tc>
        <w:tc>
          <w:tcPr>
            <w:tcW w:type="dxa" w:w="35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389 973 € elegíveis; 331 477 € de fundo. Lista da CIG de nov. 2024 mostrava metade (194 987 €), coerente com prorrogação</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Portugal 2020 / POISE</w:t>
            </w:r>
          </w:p>
        </w:tc>
        <w:tc>
          <w:tcPr>
            <w:tcW w:type="dxa" w:w="38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RLIS, SER, SER IGUAL e CorAção com Voz (concluídos)</w:t>
            </w:r>
          </w:p>
        </w:tc>
        <w:tc>
          <w:tcPr>
            <w:tcW w:type="dxa" w:w="35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614 012 € elegíveis; 521 910 € de fundo</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ISS, I.P.</w:t>
            </w:r>
          </w:p>
        </w:tc>
        <w:tc>
          <w:tcPr>
            <w:tcW w:type="dxa" w:w="38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Acordos de cooperação, Housing First, Um Teto Para Todos</w:t>
            </w:r>
          </w:p>
        </w:tc>
        <w:tc>
          <w:tcPr>
            <w:tcW w:type="dxa" w:w="35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479 073 € (2025)</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Câmara de Barcelos</w:t>
            </w:r>
          </w:p>
        </w:tc>
        <w:tc>
          <w:tcPr>
            <w:tcW w:type="dxa" w:w="38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Acordo de colaboração, SAAS, apoios pontuais, cedência de instalações e rendas</w:t>
            </w:r>
          </w:p>
        </w:tc>
        <w:tc>
          <w:tcPr>
            <w:tcW w:type="dxa" w:w="35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Pontuais: 25 000 € (set. 2024), 10 000 € (mar. 2025), 15 414 € (jun. 2026)</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ICAD / SICAD</w:t>
            </w:r>
          </w:p>
        </w:tc>
        <w:tc>
          <w:tcPr>
            <w:tcW w:type="dxa" w:w="38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Projeto Sorrir (PORI)</w:t>
            </w:r>
          </w:p>
        </w:tc>
        <w:tc>
          <w:tcPr>
            <w:tcW w:type="dxa" w:w="35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Valor não divulgado; financiamento terminou em 30/11/2025</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Fundação “la Caixa”/BPI</w:t>
            </w:r>
          </w:p>
        </w:tc>
        <w:tc>
          <w:tcPr>
            <w:tcW w:type="dxa" w:w="38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“Não Desistas de Ti!”; “Hortas com Propósito”</w:t>
            </w:r>
          </w:p>
        </w:tc>
        <w:tc>
          <w:tcPr>
            <w:tcW w:type="dxa" w:w="35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Valor não divulgado</w:t>
            </w:r>
          </w:p>
        </w:tc>
      </w:tr>
      <w:tr>
        <w:trPr>
          <w:cantSplit/>
        </w:trPr>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Donativos e mecenato</w:t>
            </w:r>
          </w:p>
        </w:tc>
        <w:tc>
          <w:tcPr>
            <w:tcW w:type="dxa" w:w="38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Particulares, empresas, campanhas de Natal</w:t>
            </w:r>
          </w:p>
        </w:tc>
        <w:tc>
          <w:tcPr>
            <w:tcW w:type="dxa" w:w="35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345 387 € (2025)</w:t>
            </w:r>
          </w:p>
        </w:tc>
      </w:tr>
      <w:tr>
        <w:trPr>
          <w:cantSplit/>
        </w:trPr>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Consignação de IRS</w:t>
            </w:r>
          </w:p>
        </w:tc>
        <w:tc>
          <w:tcPr>
            <w:tcW w:type="dxa" w:w="38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NIF na lista deferida da AT em 2024 e 2025</w:t>
            </w:r>
          </w:p>
        </w:tc>
        <w:tc>
          <w:tcPr>
            <w:tcW w:type="dxa" w:w="35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Valor recebido não divulgado</w:t>
            </w:r>
          </w:p>
        </w:tc>
      </w:tr>
    </w:tbl>
    <w:p>
      <w:pPr>
        <w:spacing w:after="120"/>
      </w:pPr>
    </w:p>
    <w:p>
      <w:pPr>
        <w:spacing w:after="120" w:line="288"/>
      </w:pPr>
      <w:r>
        <w:t xml:space="preserve">Não encontrei evidência de financiamento do EEA Grants, da Fundação Calouste Gulbenkian, do Montepio ou do FEDER.</w:t>
      </w:r>
    </w:p>
    <w:p>
      <w:pPr>
        <w:pStyle w:val="Heading1"/>
      </w:pPr>
      <w:r>
        <w:t xml:space="preserve">8. Transparência, comunicação e voluntariado</w:t>
      </w:r>
    </w:p>
    <w:p>
      <w:pPr>
        <w:pStyle w:val="Heading2"/>
      </w:pPr>
      <w:r>
        <w:t xml:space="preserve">8.1 Transparência</w:t>
      </w:r>
    </w:p>
    <w:p>
      <w:pPr>
        <w:pStyle w:val="ListParagraph"/>
        <w:numPr>
          <w:ilvl w:val="0"/>
          <w:numId w:val="2"/>
        </w:numPr>
        <w:spacing w:after="70" w:line="276"/>
      </w:pPr>
      <w:r>
        <w:t xml:space="preserve"/>
      </w:r>
      <w:r>
        <w:rPr>
          <w:b/>
          <w:bCs/>
        </w:rPr>
        <w:t xml:space="preserve">Positivo:</w:t>
      </w:r>
      <w:r>
        <w:t xml:space="preserve"> publica Relatório de Atividades, Relatório de Contas e Orçamento Previsional (2023–2026), o NIF de consignação e a lista de parceiros. É de louvar num setor onde isto nem sempre acontece.</w:t>
      </w:r>
    </w:p>
    <w:p>
      <w:pPr>
        <w:pStyle w:val="ListParagraph"/>
        <w:numPr>
          <w:ilvl w:val="0"/>
          <w:numId w:val="2"/>
        </w:numPr>
        <w:spacing w:after="70" w:line="276"/>
      </w:pPr>
      <w:r>
        <w:t xml:space="preserve"/>
      </w:r>
      <w:r>
        <w:rPr>
          <w:b/>
          <w:bCs/>
        </w:rPr>
        <w:t xml:space="preserve">Lacuna:</w:t>
      </w:r>
      <w:r>
        <w:t xml:space="preserve"> nunca publica o Anexo às demonstrações financeiras (2021–2025), onde estaria a nota com os subsídios por entidade financiadora. Por isso, 65,6 % dos subsídios de 2025 (913 064 €) ficam sem origem identificável.</w:t>
      </w:r>
    </w:p>
    <w:p>
      <w:pPr>
        <w:pStyle w:val="ListParagraph"/>
        <w:numPr>
          <w:ilvl w:val="0"/>
          <w:numId w:val="2"/>
        </w:numPr>
        <w:spacing w:after="70" w:line="276"/>
      </w:pPr>
      <w:r>
        <w:t xml:space="preserve"/>
      </w:r>
      <w:r>
        <w:rPr>
          <w:b/>
          <w:bCs/>
        </w:rPr>
        <w:t xml:space="preserve">Formato:</w:t>
      </w:r>
      <w:r>
        <w:t xml:space="preserve"> os relatórios são PDF digitalizados (imagens), o que impede pesquisa, leitura por leitores de ecrã e reutilização por jornalistas, investigadores ou financiadores.</w:t>
      </w:r>
    </w:p>
    <w:p>
      <w:pPr>
        <w:pStyle w:val="Heading2"/>
      </w:pPr>
      <w:r>
        <w:t xml:space="preserve">8.2 Site e presença digital</w:t>
      </w:r>
    </w:p>
    <w:p>
      <w:pPr>
        <w:pStyle w:val="ListParagraph"/>
        <w:numPr>
          <w:ilvl w:val="0"/>
          <w:numId w:val="2"/>
        </w:numPr>
        <w:spacing w:after="70" w:line="276"/>
      </w:pPr>
      <w:r>
        <w:t xml:space="preserve">A página de atividades está parada em 2016–2017 e a de entidades financiadoras mostra logótipos de 2017, sem os financiadores atuais (PESSOAS 2030, FSE+, ICAD, Fundação “la Caixa”).</w:t>
      </w:r>
    </w:p>
    <w:p>
      <w:pPr>
        <w:pStyle w:val="ListParagraph"/>
        <w:numPr>
          <w:ilvl w:val="0"/>
          <w:numId w:val="2"/>
        </w:numPr>
        <w:spacing w:after="70" w:line="276"/>
      </w:pPr>
      <w:r>
        <w:t xml:space="preserve">O site aponta para um separador “Donativo”, mas o endereço que testei devolveu erro 404. O que encontrei publicado foi o NIF para consignação de IRS e um NIB; </w:t>
      </w:r>
      <w:r>
        <w:rPr>
          <w:b/>
          <w:bCs/>
        </w:rPr>
        <w:t xml:space="preserve">não confirmei</w:t>
      </w:r>
      <w:r>
        <w:t xml:space="preserve"> donativo online por MB WAY, cartão ou débito direto, nem donativo recorrente.</w:t>
      </w:r>
    </w:p>
    <w:p>
      <w:pPr>
        <w:pStyle w:val="ListParagraph"/>
        <w:numPr>
          <w:ilvl w:val="0"/>
          <w:numId w:val="2"/>
        </w:numPr>
        <w:spacing w:after="70" w:line="276"/>
      </w:pPr>
      <w:r>
        <w:t xml:space="preserve">O Facebook não pôde ser analisado (o acesso automático foi recusado), pelo que não posso avaliar seguidores, frequência ou interação. O GASC declara também Instagram e LinkedIn.</w:t>
      </w:r>
    </w:p>
    <w:p>
      <w:pPr>
        <w:pStyle w:val="ListParagraph"/>
        <w:numPr>
          <w:ilvl w:val="0"/>
          <w:numId w:val="2"/>
        </w:numPr>
        <w:spacing w:after="70" w:line="276"/>
      </w:pPr>
      <w:r>
        <w:t xml:space="preserve">A cobertura mediática do GASC é narrada quase sempre através do Município: nas peças encontradas, os dirigentes do GASC só falam em nome próprio no Fórum ELOS D’Abrigo (jan. 2026) e numa entrevista da coordenadora ao Barcelos Popular. Vários projetos ativos (SER VOZ, Privação Material, “Não Desistas de Ti!”) não têm qualquer registo noticioso.</w:t>
      </w:r>
    </w:p>
    <w:p>
      <w:pPr>
        <w:pStyle w:val="Heading2"/>
      </w:pPr>
      <w:r>
        <w:t xml:space="preserve">8.3 Voluntariado</w:t>
      </w:r>
    </w:p>
    <w:p>
      <w:pPr>
        <w:spacing w:after="120" w:line="288"/>
      </w:pPr>
      <w:r>
        <w:t xml:space="preserve">O site indica 23 voluntários de gestão (dirigentes) e apenas </w:t>
      </w:r>
      <w:r>
        <w:rPr>
          <w:b/>
          <w:bCs/>
        </w:rPr>
        <w:t xml:space="preserve">2 voluntários de intervenção direta</w:t>
      </w:r>
      <w:r>
        <w:t xml:space="preserve">, com chamadas pontuais para épocas de maior procura (Natal). Não há descrição de perfis, formação, seguro ou processo de inscrição. Para uma organização que serve mais de mil pessoas por ano em refeições, cabazes e atendimento, é um recurso muito subaproveitado.</w:t>
      </w:r>
    </w:p>
    <w:p>
      <w:pPr>
        <w:pStyle w:val="Heading1"/>
      </w:pPr>
      <w:r>
        <w:t xml:space="preserve">9. Reconhecimento e impacto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2438"/>
      </w:tblGrid>
      <w:tr>
        <w:trPr>
          <w:cantSplit/>
          <w:tblHeader/>
        </w:trPr>
        <w:tc>
          <w:tcPr>
            <w:tcW w:type="dxa" w:w="33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Indicador</w:t>
            </w:r>
          </w:p>
        </w:tc>
        <w:tc>
          <w:tcPr>
            <w:tcW w:type="dxa" w:w="39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Resultado</w:t>
            </w:r>
          </w:p>
        </w:tc>
        <w:tc>
          <w:tcPr>
            <w:tcW w:type="dxa" w:w="243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Fonte</w:t>
            </w:r>
          </w:p>
        </w:tc>
      </w:tr>
      <w:tr>
        <w:trPr>
          <w:cantSplit/>
        </w:trPr>
        <w:tc>
          <w:tcPr>
            <w:tcW w:type="dxa" w:w="3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Pessoas que saíram da situação de sem-abrigo em Barcelos, 2024</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107 (1.º lugar nacional)</w:t>
            </w:r>
          </w:p>
        </w:tc>
        <w:tc>
          <w:tcPr>
            <w:tcW w:type="dxa" w:w="24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Inquérito ENIPSSA, via JN, 19/12/2025</w:t>
            </w:r>
          </w:p>
        </w:tc>
      </w:tr>
      <w:tr>
        <w:trPr>
          <w:cantSplit/>
        </w:trPr>
        <w:tc>
          <w:tcPr>
            <w:tcW w:type="dxa" w:w="3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Projeto Sou+ (set. 2021 – jun. 2023)</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89 beneficiários (meta 60, 148 %); 30 saíram da situação de sem-abrigo ou entraram no mercado de trabalho</w:t>
            </w:r>
          </w:p>
        </w:tc>
        <w:tc>
          <w:tcPr>
            <w:tcW w:type="dxa" w:w="24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Correio do Minho, 24/06/2023</w:t>
            </w:r>
          </w:p>
        </w:tc>
      </w:tr>
      <w:tr>
        <w:trPr>
          <w:cantSplit/>
        </w:trPr>
        <w:tc>
          <w:tcPr>
            <w:tcW w:type="dxa" w:w="3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Atendimentos da equipa BarcELOS d’Abrigo, 2024</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1 998</w:t>
            </w:r>
          </w:p>
        </w:tc>
        <w:tc>
          <w:tcPr>
            <w:tcW w:type="dxa" w:w="24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CM Barcelos, mai. 2025</w:t>
            </w:r>
          </w:p>
        </w:tc>
      </w:tr>
      <w:tr>
        <w:trPr>
          <w:cantSplit/>
        </w:trPr>
        <w:tc>
          <w:tcPr>
            <w:tcW w:type="dxa" w:w="3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SAAS descentralizado (4 entidades, abr.–dez. 2023)</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cerca de 3 300 pessoas atendidas</w:t>
            </w:r>
          </w:p>
        </w:tc>
        <w:tc>
          <w:tcPr>
            <w:tcW w:type="dxa" w:w="24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Diário do Minho, 06/02/2024</w:t>
            </w:r>
          </w:p>
        </w:tc>
      </w:tr>
      <w:tr>
        <w:trPr>
          <w:cantSplit/>
        </w:trPr>
        <w:tc>
          <w:tcPr>
            <w:tcW w:type="dxa" w:w="3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SER VOZ</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mais de 1 300 atendimentos (mar. 2026); 1 896 em 2025</w:t>
            </w:r>
          </w:p>
        </w:tc>
        <w:tc>
          <w:tcPr>
            <w:tcW w:type="dxa" w:w="24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CLASB / Relatório de Atividades</w:t>
            </w:r>
          </w:p>
        </w:tc>
      </w:tr>
      <w:tr>
        <w:trPr>
          <w:cantSplit/>
        </w:trPr>
        <w:tc>
          <w:tcPr>
            <w:tcW w:type="dxa" w:w="3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Selo Municipal para a Igualdade e Conciliação</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1.ª edição, out. 2023</w:t>
            </w:r>
          </w:p>
        </w:tc>
        <w:tc>
          <w:tcPr>
            <w:tcW w:type="dxa" w:w="24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CM Barcelos</w:t>
            </w:r>
          </w:p>
        </w:tc>
      </w:tr>
      <w:tr>
        <w:trPr>
          <w:cantSplit/>
        </w:trPr>
        <w:tc>
          <w:tcPr>
            <w:tcW w:type="dxa" w:w="3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Coordenador nacional da ENIPSSA</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apontou Barcelos como “modelo a seguir”</w:t>
            </w:r>
          </w:p>
        </w:tc>
        <w:tc>
          <w:tcPr>
            <w:tcW w:type="dxa" w:w="24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CM Barcelos, jan. 2026</w:t>
            </w:r>
          </w:p>
        </w:tc>
      </w:tr>
    </w:tbl>
    <w:p>
      <w:pPr>
        <w:spacing w:after="120"/>
      </w:pPr>
    </w:p>
    <w:p>
      <w:pPr>
        <w:spacing w:after="120" w:line="288"/>
      </w:pPr>
      <w:r>
        <w:t xml:space="preserve"/>
      </w:r>
      <w:r>
        <w:rPr>
          <w:b/>
          <w:bCs/>
        </w:rPr>
        <w:t xml:space="preserve">Aviso metodológico:</w:t>
      </w:r>
      <w:r>
        <w:t xml:space="preserve"> os números misturam pessoas únicas, atendimentos, processos e agregados. Não são comparáveis entre si e deveriam ser reportados com definições claras.</w:t>
      </w:r>
    </w:p>
    <w:p>
      <w:pPr>
        <w:pStyle w:val="Heading1"/>
      </w:pPr>
      <w:r>
        <w:t xml:space="preserve">10. Análise SWOT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Forças</w:t>
            </w:r>
          </w:p>
        </w:tc>
        <w:tc>
          <w:tcPr>
            <w:tcW w:type="dxa" w:w="4819"/>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Fraquezas</w:t>
            </w:r>
          </w:p>
        </w:tc>
      </w:tr>
      <w:tr>
        <w:trPr>
          <w:cantSplit/>
        </w:trPr>
        <w:tc>
          <w:tcPr>
            <w:tcW w:type="dxa" w:w="4819"/>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Reputação e resultados comprovados (sem-abrigo, violência doméstica)</w:t>
            </w:r>
          </w:p>
          <w:p>
            <w:pPr>
              <w:spacing w:after="40"/>
            </w:pPr>
            <w:r>
              <w:rPr>
                <w:sz w:val="18"/>
                <w:szCs w:val="18"/>
              </w:rPr>
              <w:t xml:space="preserve">• Balanço sólido, sem dívida, com liquidez</w:t>
            </w:r>
          </w:p>
          <w:p>
            <w:pPr>
              <w:spacing w:after="40"/>
            </w:pPr>
            <w:r>
              <w:rPr>
                <w:sz w:val="18"/>
                <w:szCs w:val="18"/>
              </w:rPr>
              <w:t xml:space="preserve">• Equipa técnica multidisciplinar de 45 pessoas</w:t>
            </w:r>
          </w:p>
          <w:p>
            <w:pPr>
              <w:spacing w:after="40"/>
            </w:pPr>
            <w:r>
              <w:rPr>
                <w:sz w:val="18"/>
                <w:szCs w:val="18"/>
              </w:rPr>
              <w:t xml:space="preserve">• Rede de parcerias ampla e apoio sistemático de grandes superfícies</w:t>
            </w:r>
          </w:p>
          <w:p>
            <w:pPr>
              <w:spacing w:after="40"/>
            </w:pPr>
            <w:r>
              <w:rPr>
                <w:sz w:val="18"/>
                <w:szCs w:val="18"/>
              </w:rPr>
              <w:t xml:space="preserve">• Capacidade demonstrada de captar fundos europeus (cerca de 1 M€ elegível em cinco operações)</w:t>
            </w:r>
          </w:p>
          <w:p>
            <w:pPr>
              <w:spacing w:after="40"/>
            </w:pPr>
            <w:r>
              <w:rPr>
                <w:sz w:val="18"/>
                <w:szCs w:val="18"/>
              </w:rPr>
              <w:t xml:space="preserve">• Donativos em crescimento (+42 % em 2025)</w:t>
            </w:r>
          </w:p>
        </w:tc>
        <w:tc>
          <w:tcPr>
            <w:tcW w:type="dxa" w:w="4819"/>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Dependência de projetos com prazo e de poucos financiadores públicos</w:t>
            </w:r>
          </w:p>
          <w:p>
            <w:pPr>
              <w:spacing w:after="40"/>
            </w:pPr>
            <w:r>
              <w:rPr>
                <w:sz w:val="18"/>
                <w:szCs w:val="18"/>
              </w:rPr>
              <w:t xml:space="preserve">• Margem líquida quase nula</w:t>
            </w:r>
          </w:p>
          <w:p>
            <w:pPr>
              <w:spacing w:after="40"/>
            </w:pPr>
            <w:r>
              <w:rPr>
                <w:sz w:val="18"/>
                <w:szCs w:val="18"/>
              </w:rPr>
              <w:t xml:space="preserve">• Falta de transparência sobre 65,6 % dos subsídios</w:t>
            </w:r>
          </w:p>
          <w:p>
            <w:pPr>
              <w:spacing w:after="40"/>
            </w:pPr>
            <w:r>
              <w:rPr>
                <w:sz w:val="18"/>
                <w:szCs w:val="18"/>
              </w:rPr>
              <w:t xml:space="preserve">• Site e comunicação desatualizados; sem donativo online confirmado</w:t>
            </w:r>
          </w:p>
          <w:p>
            <w:pPr>
              <w:spacing w:after="40"/>
            </w:pPr>
            <w:r>
              <w:rPr>
                <w:sz w:val="18"/>
                <w:szCs w:val="18"/>
              </w:rPr>
              <w:t xml:space="preserve">• Voluntariado direto residual (2 pessoas)</w:t>
            </w:r>
          </w:p>
          <w:p>
            <w:pPr>
              <w:spacing w:after="40"/>
            </w:pPr>
            <w:r>
              <w:rPr>
                <w:sz w:val="18"/>
                <w:szCs w:val="18"/>
              </w:rPr>
              <w:t xml:space="preserve">• Vagas protocoladas não utilizadas (habitação) e acordos abaixo da procura real</w:t>
            </w:r>
          </w:p>
          <w:p>
            <w:pPr>
              <w:spacing w:after="40"/>
            </w:pPr>
            <w:r>
              <w:rPr>
                <w:sz w:val="18"/>
                <w:szCs w:val="18"/>
              </w:rPr>
              <w:t xml:space="preserve">• Visibilidade mediática dependente do Município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Oportunidades</w:t>
            </w:r>
          </w:p>
        </w:tc>
        <w:tc>
          <w:tcPr>
            <w:tcW w:type="dxa" w:w="4819"/>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Ameaças</w:t>
            </w:r>
          </w:p>
        </w:tc>
      </w:tr>
      <w:tr>
        <w:trPr>
          <w:cantSplit/>
        </w:trPr>
        <w:tc>
          <w:tcPr>
            <w:tcW w:type="dxa" w:w="4819"/>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CERV-2026-DAPHNE (3 nov. 2026) e outros fundos de gestão direta da UE</w:t>
            </w:r>
          </w:p>
          <w:p>
            <w:pPr>
              <w:spacing w:after="40"/>
            </w:pPr>
            <w:r>
              <w:rPr>
                <w:sz w:val="18"/>
                <w:szCs w:val="18"/>
              </w:rPr>
              <w:t xml:space="preserve">• PROCOOP (novo acordo ou alargamento)</w:t>
            </w:r>
          </w:p>
          <w:p>
            <w:pPr>
              <w:spacing w:after="40"/>
            </w:pPr>
            <w:r>
              <w:rPr>
                <w:sz w:val="18"/>
                <w:szCs w:val="18"/>
              </w:rPr>
              <w:t xml:space="preserve">• Prémio BPI Fundação “la Caixa” Solidário</w:t>
            </w:r>
          </w:p>
          <w:p>
            <w:pPr>
              <w:spacing w:after="40"/>
            </w:pPr>
            <w:r>
              <w:rPr>
                <w:sz w:val="18"/>
                <w:szCs w:val="18"/>
              </w:rPr>
              <w:t xml:space="preserve">• Mecenato empresarial com majoração fiscal</w:t>
            </w:r>
          </w:p>
          <w:p>
            <w:pPr>
              <w:spacing w:after="40"/>
            </w:pPr>
            <w:r>
              <w:rPr>
                <w:sz w:val="18"/>
                <w:szCs w:val="18"/>
              </w:rPr>
              <w:t xml:space="preserve">• Prestígio nacional em sem-abrigo para exportar o modelo</w:t>
            </w:r>
          </w:p>
          <w:p>
            <w:pPr>
              <w:spacing w:after="40"/>
            </w:pPr>
            <w:r>
              <w:rPr>
                <w:sz w:val="18"/>
                <w:szCs w:val="18"/>
              </w:rPr>
              <w:t xml:space="preserve">• Centro de Alojamento Temporário (PRR) e Bolsa Nacional de Alojamento Urgente e Temporário</w:t>
            </w:r>
          </w:p>
          <w:p>
            <w:pPr>
              <w:spacing w:after="40"/>
            </w:pPr>
            <w:r>
              <w:rPr>
                <w:sz w:val="18"/>
                <w:szCs w:val="18"/>
              </w:rPr>
              <w:t xml:space="preserve">• Doadores recorrentes digitais</w:t>
            </w:r>
          </w:p>
        </w:tc>
        <w:tc>
          <w:tcPr>
            <w:tcW w:type="dxa" w:w="4819"/>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Não renovação de projetos (Sorrir/ICAD, SER VOZ em jul. 2027)</w:t>
            </w:r>
          </w:p>
          <w:p>
            <w:pPr>
              <w:spacing w:after="40"/>
            </w:pPr>
            <w:r>
              <w:rPr>
                <w:sz w:val="18"/>
                <w:szCs w:val="18"/>
              </w:rPr>
              <w:t xml:space="preserve">• Pressão de custos: pessoal +125,7 % desde 2022; CMVMC +30 % em 2025</w:t>
            </w:r>
          </w:p>
          <w:p>
            <w:pPr>
              <w:spacing w:after="40"/>
            </w:pPr>
            <w:r>
              <w:rPr>
                <w:sz w:val="18"/>
                <w:szCs w:val="18"/>
              </w:rPr>
              <w:t xml:space="preserve">• Atrasos nos pagamentos de fundos europeus</w:t>
            </w:r>
          </w:p>
          <w:p>
            <w:pPr>
              <w:spacing w:after="40"/>
            </w:pPr>
            <w:r>
              <w:rPr>
                <w:sz w:val="18"/>
                <w:szCs w:val="18"/>
              </w:rPr>
              <w:t xml:space="preserve">• Concentração da imagem e da decisão no Município</w:t>
            </w:r>
          </w:p>
          <w:p>
            <w:pPr>
              <w:spacing w:after="40"/>
            </w:pPr>
            <w:r>
              <w:rPr>
                <w:sz w:val="18"/>
                <w:szCs w:val="18"/>
              </w:rPr>
              <w:t xml:space="preserve">• Aumento da procura (carência alimentar, habitação)</w:t>
            </w:r>
          </w:p>
          <w:p>
            <w:pPr>
              <w:spacing w:after="40"/>
            </w:pPr>
            <w:r>
              <w:rPr>
                <w:sz w:val="18"/>
                <w:szCs w:val="18"/>
              </w:rPr>
              <w:t xml:space="preserve">• Dependência de doações em espécie de poucos grupos de retalho</w:t>
            </w:r>
          </w:p>
        </w:tc>
      </w:tr>
    </w:tbl>
    <w:p>
      <w:pPr>
        <w:spacing w:after="120"/>
      </w:pPr>
    </w:p>
    <w:p>
      <w:pPr>
        <w:pStyle w:val="Heading1"/>
      </w:pPr>
      <w:r>
        <w:t xml:space="preserve">11. Áreas de intervenção em falta ou a reforçar</w:t>
      </w:r>
    </w:p>
    <w:p>
      <w:pPr>
        <w:spacing w:after="120" w:line="288"/>
      </w:pPr>
      <w:r>
        <w:t xml:space="preserve">Esta análise assenta em documentos públicos: pode haver atividades não divulgadas. Cada ponto indica o que </w:t>
      </w:r>
      <w:r>
        <w:rPr>
          <w:b/>
          <w:bCs/>
        </w:rPr>
        <w:t xml:space="preserve">não encontrei</w:t>
      </w:r>
      <w:r>
        <w:t xml:space="preserve">, o </w:t>
      </w:r>
      <w:r>
        <w:rPr>
          <w:b/>
          <w:bCs/>
        </w:rPr>
        <w:t xml:space="preserve">fundamento</w:t>
      </w:r>
      <w:r>
        <w:t xml:space="preserve"> para considerar a área e o </w:t>
      </w:r>
      <w:r>
        <w:rPr>
          <w:b/>
          <w:bCs/>
        </w:rPr>
        <w:t xml:space="preserve">caminho possível</w:t>
      </w:r>
      <w:r>
        <w:t xml:space="preserve">. Não recomendo acrescentar todas: a secção termina com uma ordem de prioridade.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900"/>
        <w:gridCol w:w="2638"/>
      </w:tblGrid>
      <w:tr>
        <w:trPr>
          <w:cantSplit/>
          <w:tblHeader/>
        </w:trPr>
        <w:tc>
          <w:tcPr>
            <w:tcW w:type="dxa" w:w="18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Área</w:t>
            </w:r>
          </w:p>
        </w:tc>
        <w:tc>
          <w:tcPr>
            <w:tcW w:type="dxa" w:w="23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O que encontrei (ou não)</w:t>
            </w:r>
          </w:p>
        </w:tc>
        <w:tc>
          <w:tcPr>
            <w:tcW w:type="dxa" w:w="29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Fundamento</w:t>
            </w:r>
          </w:p>
        </w:tc>
        <w:tc>
          <w:tcPr>
            <w:tcW w:type="dxa" w:w="263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Caminho</w:t>
            </w:r>
          </w:p>
        </w:tc>
      </w:tr>
      <w:tr>
        <w:trPr>
          <w:cantSplit/>
        </w:trPr>
        <w:tc>
          <w:tcPr>
            <w:tcW w:type="dxa" w:w="18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1. Intervenção com autores de violência doméstica</w:t>
            </w:r>
          </w:p>
        </w:tc>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Sem evidência de programa próprio; o SER VOZ e o Centro de Apoio à Mulher focam-se nas vítimas.</w:t>
            </w:r>
          </w:p>
        </w:tc>
        <w:tc>
          <w:tcPr>
            <w:tcW w:type="dxa" w:w="2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Em 2025, 12 219 agressores estavam em programas de intervenção a nível nacional (RASI). Sem trabalhar a origem, a reincidência mantém a procura de apoio às vítimas.</w:t>
            </w:r>
          </w:p>
        </w:tc>
        <w:tc>
          <w:tcPr>
            <w:tcW w:type="dxa" w:w="26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Articular com a DGRSP (que tipicamente tutela programas para agressores) e candidatar componentes de prevenção e trabalho com agressores ao CERV-DAPHNE ou ao PESSOAS 2030.</w:t>
            </w:r>
          </w:p>
        </w:tc>
      </w:tr>
      <w:tr>
        <w:trPr>
          <w:cantSplit/>
        </w:trPr>
        <w:tc>
          <w:tcPr>
            <w:tcW w:type="dxa" w:w="18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2. Reforço do acolhimento de emergência / casa de abrigo</w:t>
            </w:r>
          </w:p>
        </w:tc>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Centro de Apoio à Mulher com 10 vagas; pedido ao PROCOOP sem resposta.</w:t>
            </w:r>
          </w:p>
        </w:tc>
        <w:tc>
          <w:tcPr>
            <w:tcW w:type="dxa" w:w="2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O distrito de Braga reforçou 25 vagas de emergência em 2022 e a Cruz Vermelha de Braga tem 25 lugares; a rede nacional conta 39 casas de abrigo e 26 acolhimentos de emergência.</w:t>
            </w:r>
          </w:p>
        </w:tc>
        <w:tc>
          <w:tcPr>
            <w:tcW w:type="dxa" w:w="26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Clarificar a tipologia da resposta e preparar dossiê PROCOOP para o próximo ciclo, com dados de procura e lista de espera.</w:t>
            </w:r>
          </w:p>
        </w:tc>
      </w:tr>
      <w:tr>
        <w:trPr>
          <w:cantSplit/>
        </w:trPr>
        <w:tc>
          <w:tcPr>
            <w:tcW w:type="dxa" w:w="18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3. Redução de riscos e minimização de danos; adições femininas</w:t>
            </w:r>
          </w:p>
        </w:tc>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O Sorrir é de tratamento (411 utentes; 17 % mulheres) e o PES de prevenção. Sem evidência de equipa de rua ou programa de redução de riscos.</w:t>
            </w:r>
          </w:p>
        </w:tc>
        <w:tc>
          <w:tcPr>
            <w:tcW w:type="dxa" w:w="2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 população em situação de sem-abrigo e a que tem adições frequentemente coincidem; um ponto de contacto de baixo limiar facilita o acesso ao tratamento. O desequilíbrio de género sugere barreiras de acesso.</w:t>
            </w:r>
          </w:p>
        </w:tc>
        <w:tc>
          <w:tcPr>
            <w:tcW w:type="dxa" w:w="26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Proposta piloto com o ICAD e a ULS; horários e abordagem específicos para mulheres, articulados com o Centro de Apoio à Mulher.</w:t>
            </w:r>
          </w:p>
        </w:tc>
      </w:tr>
      <w:tr>
        <w:trPr>
          <w:cantSplit/>
        </w:trPr>
        <w:tc>
          <w:tcPr>
            <w:tcW w:type="dxa" w:w="18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4. Inserção profissional e economia social</w:t>
            </w:r>
          </w:p>
        </w:tc>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Projetos com resultados de emprego (Sou+), mas sem resposta permanente. Hortas com Propósito (2025) ainda incipiente.</w:t>
            </w:r>
          </w:p>
        </w:tc>
        <w:tc>
          <w:tcPr>
            <w:tcW w:type="dxa" w:w="2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A saída sustentável do sem-abrigo e da dependência do RSI (979 dos beneficiários do SAAS) exige rendimento. O Prémio BPI/la Caixa tem “inserção laboral” como prioridade.</w:t>
            </w:r>
          </w:p>
        </w:tc>
        <w:tc>
          <w:tcPr>
            <w:tcW w:type="dxa" w:w="26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Parceria com o IEFP (Contrato Emprego-Inserção) e criação de uma pequena empresa social (secção 12).</w:t>
            </w:r>
          </w:p>
        </w:tc>
      </w:tr>
      <w:tr>
        <w:trPr>
          <w:cantSplit/>
        </w:trPr>
        <w:tc>
          <w:tcPr>
            <w:tcW w:type="dxa" w:w="18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5. Literacia financeira e sobre-endividamento</w:t>
            </w:r>
          </w:p>
        </w:tc>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Sem evidência de serviço dedicado.</w:t>
            </w:r>
          </w:p>
        </w:tc>
        <w:tc>
          <w:tcPr>
            <w:tcW w:type="dxa" w:w="2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O SAAS lida diariamente com famílias em carência; o endividamento é fator de entrada e de retorno à pobreza.</w:t>
            </w:r>
          </w:p>
        </w:tc>
        <w:tc>
          <w:tcPr>
            <w:tcW w:type="dxa" w:w="26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Protocolo com a DECO / Rede de Apoio ao Consumidor Endividado e sessões de literacia financeira no SAAS e no Refeitório.</w:t>
            </w:r>
          </w:p>
        </w:tc>
      </w:tr>
      <w:tr>
        <w:trPr>
          <w:cantSplit/>
        </w:trPr>
        <w:tc>
          <w:tcPr>
            <w:tcW w:type="dxa" w:w="18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6. Intervenção familiar e parental</w:t>
            </w:r>
          </w:p>
        </w:tc>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CorAção com Voz apoia crianças com deficiência; não vi apoio parental generalista.</w:t>
            </w:r>
          </w:p>
        </w:tc>
        <w:tc>
          <w:tcPr>
            <w:tcW w:type="dxa" w:w="2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A violência doméstica foi a 2.ª problemática mais sinalizada à CPCJ de Barcelos (165 casos); as crianças expostas beneficiam de trabalho com a família.</w:t>
            </w:r>
          </w:p>
        </w:tc>
        <w:tc>
          <w:tcPr>
            <w:tcW w:type="dxa" w:w="26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Estudar a viabilidade de um CAFAP (financiamento do ISS) ou de um serviço parental, em articulação com a CPCJ.</w:t>
            </w:r>
          </w:p>
        </w:tc>
      </w:tr>
      <w:tr>
        <w:trPr>
          <w:cantSplit/>
        </w:trPr>
        <w:tc>
          <w:tcPr>
            <w:tcW w:type="dxa" w:w="18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7. Saúde mental comunitária</w:t>
            </w:r>
          </w:p>
        </w:tc>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Parcial: “Não Desistas de Ti!” (2024–2025) e psiquiatria do Sorrir.</w:t>
            </w:r>
          </w:p>
        </w:tc>
        <w:tc>
          <w:tcPr>
            <w:tcW w:type="dxa" w:w="2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A saúde mental é transversal a todas as populações do GASC; o projeto da Fundação “la Caixa” terminou em 2025.</w:t>
            </w:r>
          </w:p>
        </w:tc>
        <w:tc>
          <w:tcPr>
            <w:tcW w:type="dxa" w:w="26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Consolidar como resposta permanente, com protocolo com a ULS Barcelos/Esposende.</w:t>
            </w:r>
          </w:p>
        </w:tc>
      </w:tr>
      <w:tr>
        <w:trPr>
          <w:cantSplit/>
        </w:trPr>
        <w:tc>
          <w:tcPr>
            <w:tcW w:type="dxa" w:w="18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8. Habitação e saída da rua</w:t>
            </w:r>
          </w:p>
        </w:tc>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Um Teto Para Todos com 24 das 34 vagas em funcionamento por falta de casas.</w:t>
            </w:r>
          </w:p>
        </w:tc>
        <w:tc>
          <w:tcPr>
            <w:tcW w:type="dxa" w:w="2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O gargalo do modelo de maior sucesso do GASC é a oferta de habitação, não a equipa.</w:t>
            </w:r>
          </w:p>
        </w:tc>
        <w:tc>
          <w:tcPr>
            <w:tcW w:type="dxa" w:w="26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Rede de proprietários e arrendamento acessível; Bolsa Nacional de Alojamento Urgente e Temporário e Centro de Alojamento Temporário (PRR).</w:t>
            </w:r>
          </w:p>
        </w:tc>
      </w:tr>
      <w:tr>
        <w:trPr>
          <w:cantSplit/>
        </w:trPr>
        <w:tc>
          <w:tcPr>
            <w:tcW w:type="dxa" w:w="18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9. Envelhecimento e migrantes</w:t>
            </w:r>
          </w:p>
        </w:tc>
        <w:tc>
          <w:tcPr>
            <w:tcW w:type="dxa" w:w="23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Sem evidência de intervenção específica.</w:t>
            </w:r>
          </w:p>
        </w:tc>
        <w:tc>
          <w:tcPr>
            <w:tcW w:type="dxa" w:w="2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Não tenho dados locais para justificar a entrada nestas áreas.</w:t>
            </w:r>
          </w:p>
        </w:tc>
        <w:tc>
          <w:tcPr>
            <w:tcW w:type="dxa" w:w="26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Não priorizar; confirmar no Diagnóstico Social 2024 e cobrir através de encaminhamento e do SAAS.</w:t>
            </w:r>
          </w:p>
        </w:tc>
      </w:tr>
      <w:tr>
        <w:trPr>
          <w:cantSplit/>
        </w:trPr>
        <w:tc>
          <w:tcPr>
            <w:tcW w:type="dxa" w:w="18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10. Capacidade interna de angariação de fundos e avaliação de impacto</w:t>
            </w:r>
          </w:p>
        </w:tc>
        <w:tc>
          <w:tcPr>
            <w:tcW w:type="dxa" w:w="23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Não identifiquei função dedicada, política de doadores nem relatório de impacto.</w:t>
            </w:r>
          </w:p>
        </w:tc>
        <w:tc>
          <w:tcPr>
            <w:tcW w:type="dxa" w:w="2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Já há 24 % de receita vinda de donativos; profissionalizar esta função tem retorno direto (secção 12).</w:t>
            </w:r>
          </w:p>
        </w:tc>
        <w:tc>
          <w:tcPr>
            <w:tcW w:type="dxa" w:w="26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Criar um lugar de gestão de parcerias e fundos e adotar um sistema de medição de impacto.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702A" w:sz="24"/>
              <w:bottom w:val="none" w:color="FFFFFF" w:sz="0"/>
              <w:right w:val="none" w:color="FFFFFF" w:sz="0"/>
            </w:tcBorders>
            <w:shd w:fill="E8F0F2" w:color="auto" w:val="clear"/>
            <w:tcMar>
              <w:top w:type="dxa" w:w="100"/>
              <w:left w:type="dxa" w:w="160"/>
              <w:bottom w:type="dxa" w:w="100"/>
              <w:right w:type="dxa" w:w="140"/>
            </w:tcMar>
          </w:tcPr>
          <w:p>
            <w:pPr>
              <w:spacing w:after="60"/>
            </w:pPr>
            <w:r>
              <w:rPr>
                <w:b/>
                <w:bCs/>
                <w:color w:val="1F4E5F"/>
                <w:sz w:val="21"/>
                <w:szCs w:val="21"/>
              </w:rPr>
              <w:t xml:space="preserve">Ordem de prioridade sugerida</w:t>
            </w:r>
          </w:p>
          <w:p>
            <w:pPr>
              <w:spacing w:after="60"/>
            </w:pPr>
            <w:r>
              <w:rPr>
                <w:sz w:val="20"/>
                <w:szCs w:val="20"/>
              </w:rPr>
              <w:t xml:space="preserve">Primeiro consolidar o que já existe (itens 8, 7 e 10), depois abrir frentes com financiamento identificável (itens 1, 3 e 4) e só por fim as de menor evidência (5, 6). O item 9 fica apenas em observação.</w:t>
            </w:r>
          </w:p>
        </w:tc>
      </w:tr>
    </w:tbl>
    <w:p>
      <w:pPr>
        <w:spacing w:after="120"/>
      </w:pPr>
    </w:p>
    <w:p>
      <w:pPr>
        <w:pStyle w:val="Heading1"/>
      </w:pPr>
      <w:r>
        <w:t xml:space="preserve">12. Recomendações</w:t>
      </w:r>
    </w:p>
    <w:p>
      <w:pPr>
        <w:spacing w:after="120" w:line="288"/>
      </w:pPr>
      <w:r>
        <w:t xml:space="preserve">As recomendações estão agrupadas por objetivo. Cada uma indica o </w:t>
      </w:r>
      <w:r>
        <w:rPr>
          <w:b/>
          <w:bCs/>
        </w:rPr>
        <w:t xml:space="preserve">prazo</w:t>
      </w:r>
      <w:r>
        <w:t xml:space="preserve"> (C = até 3 meses; M = 3–12 meses; L = 12–36 meses) e a </w:t>
      </w:r>
      <w:r>
        <w:rPr>
          <w:b/>
          <w:bCs/>
        </w:rPr>
        <w:t xml:space="preserve">prioridade</w:t>
      </w:r>
      <w:r>
        <w:t xml:space="preserve"> (A, B, C). Os impactos financeiros são hipóteses ilustrativas, não previsões.</w:t>
      </w:r>
    </w:p>
    <w:p>
      <w:pPr>
        <w:pStyle w:val="Heading2"/>
      </w:pPr>
      <w:r>
        <w:t xml:space="preserve">12.1 Sustentabilidade financeira e governação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3900"/>
        <w:gridCol w:w="4118"/>
        <w:gridCol w:w="1100"/>
      </w:tblGrid>
      <w:tr>
        <w:trPr>
          <w:cantSplit/>
          <w:tblHeader/>
        </w:trPr>
        <w:tc>
          <w:tcPr>
            <w:tcW w:type="dxa" w:w="52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w:t>
            </w:r>
          </w:p>
        </w:tc>
        <w:tc>
          <w:tcPr>
            <w:tcW w:type="dxa" w:w="39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Recomendação</w:t>
            </w:r>
          </w:p>
        </w:tc>
        <w:tc>
          <w:tcPr>
            <w:tcW w:type="dxa" w:w="411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Justificação</w:t>
            </w:r>
          </w:p>
        </w:tc>
        <w:tc>
          <w:tcPr>
            <w:tcW w:type="dxa" w:w="11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Prazo / Prior.</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R1</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Publicar o Anexo às demonstrações financeiras</w:t>
            </w:r>
            <w:r>
              <w:rPr>
                <w:sz w:val="18"/>
                <w:szCs w:val="18"/>
              </w:rPr>
              <w:t xml:space="preserve"> e a lista de financiadores com montantes, em texto pesquisável.</w:t>
            </w:r>
          </w:p>
        </w:tc>
        <w:tc>
          <w:tcPr>
            <w:tcW w:type="dxa" w:w="41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65,6 % dos subsídios estão sem origem identificável. Aumenta a confiança de doadores e é frequentemente pedido em candidaturas.</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 / A</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R2</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Definir uma política de reservas</w:t>
            </w:r>
            <w:r>
              <w:rPr>
                <w:sz w:val="18"/>
                <w:szCs w:val="18"/>
              </w:rPr>
              <w:t xml:space="preserve">: separar caixa de projetos e reserva livre, com meta de 3 a 6 meses de custos (cerca de 350 mil a 700 mil €), e aplicar o excedente em depósitos a prazo.</w:t>
            </w:r>
          </w:p>
        </w:tc>
        <w:tc>
          <w:tcPr>
            <w:tcW w:type="dxa" w:w="41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Caixa de 431 mil € (3,7 meses de custos), juros nulos em 2025. O orçamento de 2026 já espera 7 300 € de juros.</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 / A</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R3</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Mapa de risco de financiamento por projeto</w:t>
            </w:r>
            <w:r>
              <w:rPr>
                <w:sz w:val="18"/>
                <w:szCs w:val="18"/>
              </w:rPr>
              <w:t xml:space="preserve"> com data de fim, responsável e plano B (Sorrir, SER VOZ até jul. 2027, Centro de Apoio à Mulher, Refeitório Social).</w:t>
            </w:r>
          </w:p>
        </w:tc>
        <w:tc>
          <w:tcPr>
            <w:tcW w:type="dxa" w:w="41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O orçamento de 2026 só fecha se todas as renovações forem deferidas (+23,7 % de subsídios).</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 / A</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R4</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Testar o orçamento 2026 em cenários</w:t>
            </w:r>
            <w:r>
              <w:rPr>
                <w:sz w:val="18"/>
                <w:szCs w:val="18"/>
              </w:rPr>
              <w:t xml:space="preserve"> (sem parte dos +23,7 % de subsídios) e definir gatilhos de contenção.</w:t>
            </w:r>
          </w:p>
        </w:tc>
        <w:tc>
          <w:tcPr>
            <w:tcW w:type="dxa" w:w="41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Margem prevista de apenas 15 270 €.</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 / A</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R5</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Contabilidade analítica por resposta social</w:t>
            </w:r>
            <w:r>
              <w:rPr>
                <w:sz w:val="18"/>
                <w:szCs w:val="18"/>
              </w:rPr>
              <w:t xml:space="preserve">: custo por refeição, por atendimento, por vaga de apartamento.</w:t>
            </w:r>
          </w:p>
        </w:tc>
        <w:tc>
          <w:tcPr>
            <w:tcW w:type="dxa" w:w="41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É a prova necessária para renegociar acordos (Refeitório: 61 processos contra 35 no acordo) e justificar aumentos de comparticipação.</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 / A</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R6</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Regularizar capacidades e registos</w:t>
            </w:r>
            <w:r>
              <w:rPr>
                <w:sz w:val="18"/>
                <w:szCs w:val="18"/>
              </w:rPr>
              <w:t xml:space="preserve">: rever o acordo do Refeitório, atualizar a Carta Social e Mapa Social, e tornar operacionais as 10 vagas de UTPT e as 2 de Housing First por preencher.</w:t>
            </w:r>
          </w:p>
        </w:tc>
        <w:tc>
          <w:tcPr>
            <w:tcW w:type="dxa" w:w="41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Vagas protocoladas não usadas representam financiamento não aproveitado; utentes acima da capacidade registada geram risco.</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 / A</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R7</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Compras e desperdício</w:t>
            </w:r>
            <w:r>
              <w:rPr>
                <w:sz w:val="18"/>
                <w:szCs w:val="18"/>
              </w:rPr>
              <w:t xml:space="preserve">: consolidar compras, comparar fornecedores e medir o desperdício alimentar; consultar o mercado para contratos recorrentes (seguros, contabilidade).</w:t>
            </w:r>
          </w:p>
        </w:tc>
        <w:tc>
          <w:tcPr>
            <w:tcW w:type="dxa" w:w="41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O custo das mercadorias subiu 30 % em 2025 (de 210 mil para 272 mil €).</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 / B</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R8</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Planeamento de pessoal por fonte de financiamento</w:t>
            </w:r>
            <w:r>
              <w:rPr>
                <w:sz w:val="18"/>
                <w:szCs w:val="18"/>
              </w:rPr>
              <w:t xml:space="preserve">, com partilha de competências entre projetos e horizonte de contratos alinhado com o fim do financiamento.</w:t>
            </w:r>
          </w:p>
        </w:tc>
        <w:tc>
          <w:tcPr>
            <w:tcW w:type="dxa" w:w="41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Gastos com pessoal +125,7 % desde 2022; 65 % dos custos.</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 / B</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R9</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Sistema de informação único</w:t>
            </w:r>
            <w:r>
              <w:rPr>
                <w:sz w:val="18"/>
                <w:szCs w:val="18"/>
              </w:rPr>
              <w:t xml:space="preserve"> de utentes, doadores, voluntários e indicadores, com relatórios automáticos para financiadores.</w:t>
            </w:r>
          </w:p>
        </w:tc>
        <w:tc>
          <w:tcPr>
            <w:tcW w:type="dxa" w:w="41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Reduz trabalho duplicado de reporte e melhora a qualidade dos dados.</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 / B</w:t>
            </w:r>
          </w:p>
        </w:tc>
      </w:tr>
    </w:tbl>
    <w:p>
      <w:pPr>
        <w:spacing w:after="120"/>
      </w:pPr>
    </w:p>
    <w:p>
      <w:pPr>
        <w:pStyle w:val="Heading2"/>
      </w:pPr>
      <w:r>
        <w:t xml:space="preserve">12.2 Novas fontes de financiamento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4418"/>
        <w:gridCol w:w="1100"/>
      </w:tblGrid>
      <w:tr>
        <w:trPr>
          <w:cantSplit/>
          <w:tblHeader/>
        </w:trPr>
        <w:tc>
          <w:tcPr>
            <w:tcW w:type="dxa" w:w="52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w:t>
            </w:r>
          </w:p>
        </w:tc>
        <w:tc>
          <w:tcPr>
            <w:tcW w:type="dxa" w:w="36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Recomendação</w:t>
            </w:r>
          </w:p>
        </w:tc>
        <w:tc>
          <w:tcPr>
            <w:tcW w:type="dxa" w:w="441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Detalhe verificado</w:t>
            </w:r>
          </w:p>
        </w:tc>
        <w:tc>
          <w:tcPr>
            <w:tcW w:type="dxa" w:w="11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Prazo / Prior.</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R10</w:t>
            </w:r>
          </w:p>
        </w:tc>
        <w:tc>
          <w:tcPr>
            <w:tcW w:type="dxa" w:w="36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Decidir já sobre o CERV-2026-DAPHNE</w:t>
            </w:r>
            <w:r>
              <w:rPr>
                <w:sz w:val="18"/>
                <w:szCs w:val="18"/>
              </w:rPr>
              <w:t xml:space="preserve"> (prevenção da violência de género): candidatura em consórcio com a Câmara, APACI, Cruz Vermelha ou congéneres de outros países.</w:t>
            </w:r>
          </w:p>
        </w:tc>
        <w:tc>
          <w:tcPr>
            <w:tcW w:type="dxa" w:w="44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Prazo: 3 nov. 2026, 17h00 CET. Prioridades 2–5: 200 a 600 mil €, 12–24 meses; três exigem consórcio de pelo menos dois candidatos. Orçamento total estimado de 21 M€. Cinco semanas é curto: se não for possível, preparar o ciclo seguinte.</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 / A</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R11</w:t>
            </w:r>
          </w:p>
        </w:tc>
        <w:tc>
          <w:tcPr>
            <w:tcW w:type="dxa" w:w="36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Prémio BPI Fundação “la Caixa” Solidário</w:t>
            </w:r>
            <w:r>
              <w:rPr>
                <w:sz w:val="18"/>
                <w:szCs w:val="18"/>
              </w:rPr>
              <w:t xml:space="preserve">: preparar candidatura anual em torno de sem-abrigo, adições ou violência doméstica.</w:t>
            </w:r>
          </w:p>
        </w:tc>
        <w:tc>
          <w:tcPr>
            <w:tcW w:type="dxa" w:w="44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Em 2026 abriu a 10 de março: até 50 mil € (Modalidade A) ou 100 mil € (B), até 75 % do custo; exige 35 % da Base de Dados Social preenchida. O GASC já ganhou em 2023.</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 / A</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R12</w:t>
            </w:r>
          </w:p>
        </w:tc>
        <w:tc>
          <w:tcPr>
            <w:tcW w:type="dxa" w:w="36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Dossiê PROCOOP permanente</w:t>
            </w:r>
            <w:r>
              <w:rPr>
                <w:sz w:val="18"/>
                <w:szCs w:val="18"/>
              </w:rPr>
              <w:t xml:space="preserve"> para cada resposta que possa alargar ou obter acordo (Centro de Apoio à Mulher, Refeitório, eventual nova resposta).</w:t>
            </w:r>
          </w:p>
        </w:tc>
        <w:tc>
          <w:tcPr>
            <w:tcW w:type="dxa" w:w="44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O ciclo de 2026 decorreu de 30 jul. a 14 ago., com 6,5 M€ para o continente. Seguir CNIS e a Segurança Social para o próximo aviso.</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 / A</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R13</w:t>
            </w:r>
          </w:p>
        </w:tc>
        <w:tc>
          <w:tcPr>
            <w:tcW w:type="dxa" w:w="36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Programa de mecenato empresarial</w:t>
            </w:r>
            <w:r>
              <w:rPr>
                <w:sz w:val="18"/>
                <w:szCs w:val="18"/>
              </w:rPr>
              <w:t xml:space="preserve"> com contratos plurianuais, pacotes concretos (uma refeição, um apartamento, uma consulta) e recibos fiscais.</w:t>
            </w:r>
          </w:p>
        </w:tc>
        <w:tc>
          <w:tcPr>
            <w:tcW w:type="dxa" w:w="44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O artigo 62.º do EBF prevê majoração dos donativos das empresas a 130 % e a 140 % quando há contratos plurianuais com objetivos, até 8/1000 do volume de negócios. Confirmar as condições com o contabilista.</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 / A</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R14</w:t>
            </w:r>
          </w:p>
        </w:tc>
        <w:tc>
          <w:tcPr>
            <w:tcW w:type="dxa" w:w="36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Donativo online e recorrente</w:t>
            </w:r>
            <w:r>
              <w:rPr>
                <w:sz w:val="18"/>
                <w:szCs w:val="18"/>
              </w:rPr>
              <w:t xml:space="preserve"> (MB WAY, cartão, débito direto), com página clara e recibo automático.</w:t>
            </w:r>
          </w:p>
        </w:tc>
        <w:tc>
          <w:tcPr>
            <w:tcW w:type="dxa" w:w="44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Cenário ilustrativo: 300 dadores a 10 €/mês geram 36 000 € por ano, cerca de 10 % dos donativos de 2025.</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 / A</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R15</w:t>
            </w:r>
          </w:p>
        </w:tc>
        <w:tc>
          <w:tcPr>
            <w:tcW w:type="dxa" w:w="36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Campanha anual de consignação de IRS</w:t>
            </w:r>
            <w:r>
              <w:rPr>
                <w:sz w:val="18"/>
                <w:szCs w:val="18"/>
              </w:rPr>
              <w:t xml:space="preserve"> (março a junho) com parceiros e colaboradores, e publicação do valor recebido.</w:t>
            </w:r>
          </w:p>
        </w:tc>
        <w:tc>
          <w:tcPr>
            <w:tcW w:type="dxa" w:w="44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O NIF está na lista deferida da AT em 2024 e 2025; o valor arrecadado não é divulgado.</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 / B</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R16</w:t>
            </w:r>
          </w:p>
        </w:tc>
        <w:tc>
          <w:tcPr>
            <w:tcW w:type="dxa" w:w="36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Programa de legados e heranças</w:t>
            </w:r>
            <w:r>
              <w:rPr>
                <w:sz w:val="18"/>
                <w:szCs w:val="18"/>
              </w:rPr>
              <w:t xml:space="preserve">, com folheto e sessões com a rede de advogados do manual do SER IGUAL.</w:t>
            </w:r>
          </w:p>
        </w:tc>
        <w:tc>
          <w:tcPr>
            <w:tcW w:type="dxa" w:w="44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Fonte de receita de longo prazo, ainda por explorar.</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L / B</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R17</w:t>
            </w:r>
          </w:p>
        </w:tc>
        <w:tc>
          <w:tcPr>
            <w:tcW w:type="dxa" w:w="36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Portugal Inovação Social</w:t>
            </w:r>
            <w:r>
              <w:rPr>
                <w:sz w:val="18"/>
                <w:szCs w:val="18"/>
              </w:rPr>
              <w:t xml:space="preserve">: avaliar candidatura a Parcerias para a Inovação Social para um piloto (inserção profissional, agressores ou redução de riscos).</w:t>
            </w:r>
          </w:p>
        </w:tc>
        <w:tc>
          <w:tcPr>
            <w:tcW w:type="dxa" w:w="44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Instrumento com 80 % de fundos da UE e 20 % de investidores sociais. Confirmar avisos abertos para o Norte; o aviso de Contratos de Impacto Social de 2026 encontrado é do Alentejo.</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 / B</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R18</w:t>
            </w:r>
          </w:p>
        </w:tc>
        <w:tc>
          <w:tcPr>
            <w:tcW w:type="dxa" w:w="36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Prospeção de outras fundações</w:t>
            </w:r>
            <w:r>
              <w:rPr>
                <w:sz w:val="18"/>
                <w:szCs w:val="18"/>
              </w:rPr>
              <w:t xml:space="preserve">: Fundação Calouste Gulbenkian, Santa Casa (Jogos), Fundação EDP, Ageas, Manuel António da Mota e Montepio.</w:t>
            </w:r>
          </w:p>
        </w:tc>
        <w:tc>
          <w:tcPr>
            <w:tcW w:type="dxa" w:w="44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Não encontrei financiamento anterior nestas fundações; disponibilidade dos programas não confirmada.</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 / B</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R19</w:t>
            </w:r>
          </w:p>
        </w:tc>
        <w:tc>
          <w:tcPr>
            <w:tcW w:type="dxa" w:w="36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Campanhas e eventos</w:t>
            </w:r>
            <w:r>
              <w:rPr>
                <w:sz w:val="18"/>
                <w:szCs w:val="18"/>
              </w:rPr>
              <w:t xml:space="preserve"> num calendário anual: aniversário (novembro), Natal com vouchers, caminhada ou concerto, com padrinhos locais.</w:t>
            </w:r>
          </w:p>
        </w:tc>
        <w:tc>
          <w:tcPr>
            <w:tcW w:type="dxa" w:w="44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A campanha de Natal de 2022 já usou vouchers e um empresário padrinho. Falta escalar e medir.</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 / B</w:t>
            </w:r>
          </w:p>
        </w:tc>
      </w:tr>
    </w:tbl>
    <w:p>
      <w:pPr>
        <w:spacing w:after="120"/>
      </w:pPr>
    </w:p>
    <w:p>
      <w:pPr>
        <w:pStyle w:val="Heading2"/>
      </w:pPr>
      <w:r>
        <w:t xml:space="preserve">12.3 Receita própria e eficiência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3900"/>
        <w:gridCol w:w="4118"/>
        <w:gridCol w:w="1100"/>
      </w:tblGrid>
      <w:tr>
        <w:trPr>
          <w:cantSplit/>
          <w:tblHeader/>
        </w:trPr>
        <w:tc>
          <w:tcPr>
            <w:tcW w:type="dxa" w:w="52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w:t>
            </w:r>
          </w:p>
        </w:tc>
        <w:tc>
          <w:tcPr>
            <w:tcW w:type="dxa" w:w="39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Recomendação</w:t>
            </w:r>
          </w:p>
        </w:tc>
        <w:tc>
          <w:tcPr>
            <w:tcW w:type="dxa" w:w="411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Justificação</w:t>
            </w:r>
          </w:p>
        </w:tc>
        <w:tc>
          <w:tcPr>
            <w:tcW w:type="dxa" w:w="11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Prazo / Prior.</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R20</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Hortas com Propósito como empresa social</w:t>
            </w:r>
            <w:r>
              <w:rPr>
                <w:sz w:val="18"/>
                <w:szCs w:val="18"/>
              </w:rPr>
              <w:t xml:space="preserve">: produzir para o Refeitório (reduz CMVMC), vender excedentes e empregar utentes em inserção.</w:t>
            </w:r>
          </w:p>
        </w:tc>
        <w:tc>
          <w:tcPr>
            <w:tcW w:type="dxa" w:w="41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O projeto foi inaugurado em junho de 2025 com apoio da Fundação “la Caixa”. É a base para uma resposta permanente de inserção.</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 / A</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R21</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Micro-negócios de inserção</w:t>
            </w:r>
            <w:r>
              <w:rPr>
                <w:sz w:val="18"/>
                <w:szCs w:val="18"/>
              </w:rPr>
              <w:t xml:space="preserve">: lavandaria social aberta a clientes (já tem lavandaria e balneários), catering solidário para empresas e loja social com upcycling.</w:t>
            </w:r>
          </w:p>
        </w:tc>
        <w:tc>
          <w:tcPr>
            <w:tcW w:type="dxa" w:w="41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Aproveita infraestruturas existentes. Cada negócio exige teste de viabilidade e enquadramento como empresa de inserção.</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L / B</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R22</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Formação certificada e consultoria</w:t>
            </w:r>
            <w:r>
              <w:rPr>
                <w:sz w:val="18"/>
                <w:szCs w:val="18"/>
              </w:rPr>
              <w:t xml:space="preserve">: oferecer formação (DGERT) e consultoria a outros municípios e entidades sobre o modelo sem-abrigo de Barcelos e sobre violência doméstica (manual para advogados).</w:t>
            </w:r>
          </w:p>
        </w:tc>
        <w:tc>
          <w:tcPr>
            <w:tcW w:type="dxa" w:w="41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O coordenador nacional da ENIPSSA chamou a Barcelos “o modelo a seguir”. É conhecimento transferível e pode gerar receita.</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 / B</w:t>
            </w:r>
          </w:p>
        </w:tc>
      </w:tr>
    </w:tbl>
    <w:p>
      <w:pPr>
        <w:spacing w:after="120"/>
      </w:pPr>
    </w:p>
    <w:p>
      <w:pPr>
        <w:pStyle w:val="Heading2"/>
      </w:pPr>
      <w:r>
        <w:t xml:space="preserve">12.4 Comunicação, voluntariado e impacto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3900"/>
        <w:gridCol w:w="4118"/>
        <w:gridCol w:w="1100"/>
      </w:tblGrid>
      <w:tr>
        <w:trPr>
          <w:cantSplit/>
          <w:tblHeader/>
        </w:trPr>
        <w:tc>
          <w:tcPr>
            <w:tcW w:type="dxa" w:w="52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w:t>
            </w:r>
          </w:p>
        </w:tc>
        <w:tc>
          <w:tcPr>
            <w:tcW w:type="dxa" w:w="39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Recomendação</w:t>
            </w:r>
          </w:p>
        </w:tc>
        <w:tc>
          <w:tcPr>
            <w:tcW w:type="dxa" w:w="411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Justificação</w:t>
            </w:r>
          </w:p>
        </w:tc>
        <w:tc>
          <w:tcPr>
            <w:tcW w:type="dxa" w:w="11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Prazo / Prior.</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R23</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Renovar o site</w:t>
            </w:r>
            <w:r>
              <w:rPr>
                <w:sz w:val="18"/>
                <w:szCs w:val="18"/>
              </w:rPr>
              <w:t xml:space="preserve">: atividades e financiadores atualizados, donativo funcional, órgãos sociais, relatórios em texto, versão móvel.</w:t>
            </w:r>
          </w:p>
        </w:tc>
        <w:tc>
          <w:tcPr>
            <w:tcW w:type="dxa" w:w="41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Páginas paradas desde 2016–2017; primeira impressão de doadores e financiadores.</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 / A</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R24</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Assumir a narrativa</w:t>
            </w:r>
            <w:r>
              <w:rPr>
                <w:sz w:val="18"/>
                <w:szCs w:val="18"/>
              </w:rPr>
              <w:t xml:space="preserve">: relatório anual de impacto em linguagem simples, dossiê de imprensa, e histórias respeitando a confidencialidade; LinkedIn para empresas e Facebook/Instagram para a comunidade.</w:t>
            </w:r>
          </w:p>
        </w:tc>
        <w:tc>
          <w:tcPr>
            <w:tcW w:type="dxa" w:w="41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A imprensa fala do Município; o GASC deve mostrar o seu contributo próprio.</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 / B</w:t>
            </w:r>
          </w:p>
        </w:tc>
      </w:tr>
      <w:tr>
        <w:trPr>
          <w:cantSplit/>
        </w:trPr>
        <w:tc>
          <w:tcPr>
            <w:tcW w:type="dxa" w:w="52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R25</w:t>
            </w:r>
          </w:p>
        </w:tc>
        <w:tc>
          <w:tcPr>
            <w:tcW w:type="dxa" w:w="39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
            </w:r>
            <w:r>
              <w:rPr>
                <w:b/>
                <w:bCs/>
                <w:sz w:val="18"/>
                <w:szCs w:val="18"/>
              </w:rPr>
              <w:t xml:space="preserve">Programa de voluntariado</w:t>
            </w:r>
            <w:r>
              <w:rPr>
                <w:sz w:val="18"/>
                <w:szCs w:val="18"/>
              </w:rPr>
              <w:t xml:space="preserve">: perfis, formação, seguro, coordenação, voluntariado de competências (juristas, contabilistas, comunicação) e voluntariado empresarial com os parceiros.</w:t>
            </w:r>
          </w:p>
        </w:tc>
        <w:tc>
          <w:tcPr>
            <w:tcW w:type="dxa" w:w="411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Só 2 voluntários diretos. Poupa custos e fortalece a ligação à comunidade.</w:t>
            </w:r>
          </w:p>
        </w:tc>
        <w:tc>
          <w:tcPr>
            <w:tcW w:type="dxa" w:w="1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M / A</w:t>
            </w:r>
          </w:p>
        </w:tc>
      </w:tr>
      <w:tr>
        <w:trPr>
          <w:cantSplit/>
        </w:trPr>
        <w:tc>
          <w:tcPr>
            <w:tcW w:type="dxa" w:w="52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R26</w:t>
            </w:r>
          </w:p>
        </w:tc>
        <w:tc>
          <w:tcPr>
            <w:tcW w:type="dxa" w:w="39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
            </w:r>
            <w:r>
              <w:rPr>
                <w:b/>
                <w:bCs/>
                <w:sz w:val="18"/>
                <w:szCs w:val="18"/>
              </w:rPr>
              <w:t xml:space="preserve">Medição de impacto e qualidade</w:t>
            </w:r>
            <w:r>
              <w:rPr>
                <w:sz w:val="18"/>
                <w:szCs w:val="18"/>
              </w:rPr>
              <w:t xml:space="preserve">: teoria da mudança por área, indicadores harmonizados (pessoas únicas vs atendimentos), e avaliar certificação (modelo de qualidade do ISS, EQUASS ou ISO 9001).</w:t>
            </w:r>
          </w:p>
        </w:tc>
        <w:tc>
          <w:tcPr>
            <w:tcW w:type="dxa" w:w="411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Reforça candidaturas e permite mostrar resultados de forma comparável.</w:t>
            </w:r>
          </w:p>
        </w:tc>
        <w:tc>
          <w:tcPr>
            <w:tcW w:type="dxa" w:w="1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L / B</w:t>
            </w:r>
          </w:p>
        </w:tc>
      </w:tr>
    </w:tbl>
    <w:p>
      <w:pPr>
        <w:spacing w:after="120"/>
      </w:pPr>
    </w:p>
    <w:p>
      <w:pPr>
        <w:pStyle w:val="Heading1"/>
      </w:pPr>
      <w:r>
        <w:t xml:space="preserve">13. Roteiro sugerido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338"/>
        <w:gridCol w:w="2200"/>
      </w:tblGrid>
      <w:tr>
        <w:trPr>
          <w:cantSplit/>
          <w:tblHeader/>
        </w:trPr>
        <w:tc>
          <w:tcPr>
            <w:tcW w:type="dxa" w:w="21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Quando</w:t>
            </w:r>
          </w:p>
        </w:tc>
        <w:tc>
          <w:tcPr>
            <w:tcW w:type="dxa" w:w="5338"/>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Ações</w:t>
            </w:r>
          </w:p>
        </w:tc>
        <w:tc>
          <w:tcPr>
            <w:tcW w:type="dxa" w:w="2200"/>
            <w:tcBorders>
              <w:top w:val="single" w:color="B8C7CC" w:sz="4"/>
              <w:left w:val="single" w:color="B8C7CC" w:sz="4"/>
              <w:bottom w:val="single" w:color="B8C7CC" w:sz="4"/>
              <w:right w:val="single" w:color="B8C7CC" w:sz="4"/>
            </w:tcBorders>
            <w:shd w:fill="1F4E5F" w:color="auto" w:val="clear"/>
            <w:tcMar>
              <w:top w:type="dxa" w:w="60"/>
              <w:left w:type="dxa" w:w="90"/>
              <w:bottom w:type="dxa" w:w="60"/>
              <w:right w:type="dxa" w:w="90"/>
            </w:tcMar>
          </w:tcPr>
          <w:p>
            <w:pPr>
              <w:spacing w:after="40"/>
            </w:pPr>
            <w:r>
              <w:rPr>
                <w:b/>
                <w:bCs/>
                <w:color w:val="FFFFFF"/>
                <w:sz w:val="18"/>
                <w:szCs w:val="18"/>
              </w:rPr>
              <w:t xml:space="preserve">Responsável sugerido</w:t>
            </w:r>
          </w:p>
        </w:tc>
      </w:tr>
      <w:tr>
        <w:trPr>
          <w:cantSplit/>
        </w:trPr>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Próximas 2 semanas</w:t>
            </w:r>
          </w:p>
        </w:tc>
        <w:tc>
          <w:tcPr>
            <w:tcW w:type="dxa" w:w="53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Decisão go/no-go sobre o CERV-DAPHNE (R10); contactar potenciais parceiros do consórcio.</w:t>
            </w:r>
          </w:p>
        </w:tc>
        <w:tc>
          <w:tcPr>
            <w:tcW w:type="dxa" w:w="22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Direção e Coordenação Geral</w:t>
            </w:r>
          </w:p>
        </w:tc>
      </w:tr>
      <w:tr>
        <w:trPr>
          <w:cantSplit/>
        </w:trPr>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Outubro–dezembro 2026</w:t>
            </w:r>
          </w:p>
        </w:tc>
        <w:tc>
          <w:tcPr>
            <w:tcW w:type="dxa" w:w="53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Publicar Anexo às contas (R1); política de reservas (R2); mapa de risco (R3); testar o orçamento 2026 (R4); ativar donativo online (R14); campanha de Natal com mecenas (R13, R19).</w:t>
            </w:r>
          </w:p>
        </w:tc>
        <w:tc>
          <w:tcPr>
            <w:tcW w:type="dxa" w:w="22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Direção, contabilidade, comunicação</w:t>
            </w:r>
          </w:p>
        </w:tc>
      </w:tr>
      <w:tr>
        <w:trPr>
          <w:cantSplit/>
        </w:trPr>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Janeiro–março 2027</w:t>
            </w:r>
          </w:p>
        </w:tc>
        <w:tc>
          <w:tcPr>
            <w:tcW w:type="dxa" w:w="53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Site renovado (R23); dossiê PROCOOP (R12); contabilidade analítica (R5); regularização de capacidades (R6); plano de voluntariado (R25).</w:t>
            </w:r>
          </w:p>
        </w:tc>
        <w:tc>
          <w:tcPr>
            <w:tcW w:type="dxa" w:w="22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Coordenação Geral, direções técnicas</w:t>
            </w:r>
          </w:p>
        </w:tc>
      </w:tr>
      <w:tr>
        <w:trPr>
          <w:cantSplit/>
        </w:trPr>
        <w:tc>
          <w:tcPr>
            <w:tcW w:type="dxa" w:w="21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Março–junho 2027</w:t>
            </w:r>
          </w:p>
        </w:tc>
        <w:tc>
          <w:tcPr>
            <w:tcW w:type="dxa" w:w="5338"/>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Campanha de IRS (R15); candidatura BPI/la Caixa (R11); prospeção de fundações (R18); primeiro relatório de impacto (R24).</w:t>
            </w:r>
          </w:p>
        </w:tc>
        <w:tc>
          <w:tcPr>
            <w:tcW w:type="dxa" w:w="2200"/>
            <w:tcBorders>
              <w:top w:val="single" w:color="B8C7CC" w:sz="4"/>
              <w:left w:val="single" w:color="B8C7CC" w:sz="4"/>
              <w:bottom w:val="single" w:color="B8C7CC" w:sz="4"/>
              <w:right w:val="single" w:color="B8C7CC" w:sz="4"/>
            </w:tcBorders>
            <w:shd w:fill="F3F3F3" w:color="auto" w:val="clear"/>
            <w:tcMar>
              <w:top w:type="dxa" w:w="60"/>
              <w:left w:type="dxa" w:w="90"/>
              <w:bottom w:type="dxa" w:w="60"/>
              <w:right w:type="dxa" w:w="90"/>
            </w:tcMar>
          </w:tcPr>
          <w:p>
            <w:pPr>
              <w:spacing w:after="40"/>
            </w:pPr>
            <w:r>
              <w:rPr>
                <w:sz w:val="18"/>
                <w:szCs w:val="18"/>
              </w:rPr>
              <w:t xml:space="preserve">Nova função de parcerias e fundos</w:t>
            </w:r>
          </w:p>
        </w:tc>
      </w:tr>
      <w:tr>
        <w:trPr>
          <w:cantSplit/>
        </w:trPr>
        <w:tc>
          <w:tcPr>
            <w:tcW w:type="dxa" w:w="21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Segundo semestre 2027</w:t>
            </w:r>
          </w:p>
        </w:tc>
        <w:tc>
          <w:tcPr>
            <w:tcW w:type="dxa" w:w="5338"/>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Piloto de empresa social (R20, R21); estudo de viabilidade dos novos serviços (secção 11); definir plano de continuidade antes de jul. 2027 (SER VOZ).</w:t>
            </w:r>
          </w:p>
        </w:tc>
        <w:tc>
          <w:tcPr>
            <w:tcW w:type="dxa" w:w="2200"/>
            <w:tcBorders>
              <w:top w:val="single" w:color="B8C7CC" w:sz="4"/>
              <w:left w:val="single" w:color="B8C7CC" w:sz="4"/>
              <w:bottom w:val="single" w:color="B8C7CC" w:sz="4"/>
              <w:right w:val="single" w:color="B8C7CC" w:sz="4"/>
            </w:tcBorders>
            <w:tcMar>
              <w:top w:type="dxa" w:w="60"/>
              <w:left w:type="dxa" w:w="90"/>
              <w:bottom w:type="dxa" w:w="60"/>
              <w:right w:type="dxa" w:w="90"/>
            </w:tcMar>
          </w:tcPr>
          <w:p>
            <w:pPr>
              <w:spacing w:after="40"/>
            </w:pPr>
            <w:r>
              <w:rPr>
                <w:sz w:val="18"/>
                <w:szCs w:val="18"/>
              </w:rPr>
              <w:t xml:space="preserve">Direção e equipas técnicas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702A" w:sz="24"/>
              <w:bottom w:val="none" w:color="FFFFFF" w:sz="0"/>
              <w:right w:val="none" w:color="FFFFFF" w:sz="0"/>
            </w:tcBorders>
            <w:shd w:fill="E8F0F2" w:color="auto" w:val="clear"/>
            <w:tcMar>
              <w:top w:type="dxa" w:w="100"/>
              <w:left w:type="dxa" w:w="160"/>
              <w:bottom w:type="dxa" w:w="100"/>
              <w:right w:type="dxa" w:w="140"/>
            </w:tcMar>
          </w:tcPr>
          <w:p>
            <w:pPr>
              <w:spacing w:after="60"/>
            </w:pPr>
            <w:r>
              <w:rPr>
                <w:b/>
                <w:bCs/>
                <w:color w:val="1F4E5F"/>
                <w:sz w:val="21"/>
                <w:szCs w:val="21"/>
              </w:rPr>
              <w:t xml:space="preserve">Uma nota sobre a ordem</w:t>
            </w:r>
          </w:p>
          <w:p>
            <w:pPr>
              <w:spacing w:after="60"/>
            </w:pPr>
            <w:r>
              <w:rPr>
                <w:sz w:val="20"/>
                <w:szCs w:val="20"/>
              </w:rPr>
              <w:t xml:space="preserve">As primeiras ações (R1–R4, R13, R14, R23) custam pouco e reduzem risco ou aumentam receita rapidamente. As novas respostas (secção 11) e os negócios sociais exigem investimento e estudo; devem seguir-se, não preceder.</w:t>
            </w:r>
          </w:p>
        </w:tc>
      </w:tr>
    </w:tbl>
    <w:p>
      <w:pPr>
        <w:spacing w:after="120"/>
      </w:pPr>
    </w:p>
    <w:p>
      <w:pPr>
        <w:pStyle w:val="Heading1"/>
      </w:pPr>
      <w:r>
        <w:t xml:space="preserve">14. Limitações e dados por confirmar</w:t>
      </w:r>
    </w:p>
    <w:p>
      <w:pPr>
        <w:pStyle w:val="ListParagraph"/>
        <w:numPr>
          <w:ilvl w:val="0"/>
          <w:numId w:val="2"/>
        </w:numPr>
        <w:spacing w:after="70" w:line="276"/>
      </w:pPr>
      <w:r>
        <w:t xml:space="preserve"/>
      </w:r>
      <w:r>
        <w:rPr>
          <w:b/>
          <w:bCs/>
        </w:rPr>
        <w:t xml:space="preserve">Facebook, Instagram e LinkedIn</w:t>
      </w:r>
      <w:r>
        <w:t xml:space="preserve"> não foram analisados quantitativamente (acesso recusado).</w:t>
      </w:r>
    </w:p>
    <w:p>
      <w:pPr>
        <w:pStyle w:val="ListParagraph"/>
        <w:numPr>
          <w:ilvl w:val="0"/>
          <w:numId w:val="2"/>
        </w:numPr>
        <w:spacing w:after="70" w:line="276"/>
      </w:pPr>
      <w:r>
        <w:t xml:space="preserve"/>
      </w:r>
      <w:r>
        <w:rPr>
          <w:b/>
          <w:bCs/>
        </w:rPr>
        <w:t xml:space="preserve">Diagnóstico Social de Barcelos 2024</w:t>
      </w:r>
      <w:r>
        <w:t xml:space="preserve"> e </w:t>
      </w:r>
      <w:r>
        <w:rPr>
          <w:b/>
          <w:bCs/>
        </w:rPr>
        <w:t xml:space="preserve">Plano de Desenvolvimento Social</w:t>
      </w:r>
      <w:r>
        <w:t xml:space="preserve">: PDF digitalizados, não lidos; os indicadores locais de pobreza, RSI e envelhecimento ficam por incorporar.</w:t>
      </w:r>
    </w:p>
    <w:p>
      <w:pPr>
        <w:pStyle w:val="ListParagraph"/>
        <w:numPr>
          <w:ilvl w:val="0"/>
          <w:numId w:val="2"/>
        </w:numPr>
        <w:spacing w:after="70" w:line="276"/>
      </w:pPr>
      <w:r>
        <w:t xml:space="preserve"/>
      </w:r>
      <w:r>
        <w:rPr>
          <w:b/>
          <w:bCs/>
        </w:rPr>
        <w:t xml:space="preserve">Relatórios de contas do GASC</w:t>
      </w:r>
      <w:r>
        <w:t xml:space="preserve"> estão em PDF digitalizado; os números aqui usados foram extraídos por leitura da imagem dos documentos e devem ser conferidos com o original antes de serem citados.</w:t>
      </w:r>
    </w:p>
    <w:p>
      <w:pPr>
        <w:pStyle w:val="ListParagraph"/>
        <w:numPr>
          <w:ilvl w:val="0"/>
          <w:numId w:val="2"/>
        </w:numPr>
        <w:spacing w:after="70" w:line="276"/>
      </w:pPr>
      <w:r>
        <w:t xml:space="preserve"/>
      </w:r>
      <w:r>
        <w:rPr>
          <w:b/>
          <w:bCs/>
        </w:rPr>
        <w:t xml:space="preserve">Carta Social</w:t>
      </w:r>
      <w:r>
        <w:t xml:space="preserve">: não permite pesquisa por entidade; usei o Mapa Social como aproximação.</w:t>
      </w:r>
    </w:p>
    <w:p>
      <w:pPr>
        <w:pStyle w:val="ListParagraph"/>
        <w:numPr>
          <w:ilvl w:val="0"/>
          <w:numId w:val="2"/>
        </w:numPr>
        <w:spacing w:after="70" w:line="276"/>
      </w:pPr>
      <w:r>
        <w:t xml:space="preserve"/>
      </w:r>
      <w:r>
        <w:rPr>
          <w:b/>
          <w:bCs/>
        </w:rPr>
        <w:t xml:space="preserve">Ano de fundação</w:t>
      </w:r>
      <w:r>
        <w:t xml:space="preserve"> (1976, 1978 ou 1979), </w:t>
      </w:r>
      <w:r>
        <w:rPr>
          <w:b/>
          <w:bCs/>
        </w:rPr>
        <w:t xml:space="preserve">número de freguesias do SAAS</w:t>
      </w:r>
      <w:r>
        <w:t xml:space="preserve"> (11, 14 ou 26 consoante a fonte) e </w:t>
      </w:r>
      <w:r>
        <w:rPr>
          <w:b/>
          <w:bCs/>
        </w:rPr>
        <w:t xml:space="preserve">valor de 47 000 €</w:t>
      </w:r>
      <w:r>
        <w:t xml:space="preserve"> de rendas (anual ou mensal) divergem entre fontes.</w:t>
      </w:r>
    </w:p>
    <w:p>
      <w:pPr>
        <w:pStyle w:val="ListParagraph"/>
        <w:numPr>
          <w:ilvl w:val="0"/>
          <w:numId w:val="2"/>
        </w:numPr>
        <w:spacing w:after="70" w:line="276"/>
      </w:pPr>
      <w:r>
        <w:t xml:space="preserve"/>
      </w:r>
      <w:r>
        <w:rPr>
          <w:b/>
          <w:bCs/>
        </w:rPr>
        <w:t xml:space="preserve">Refeições servidas</w:t>
      </w:r>
      <w:r>
        <w:t xml:space="preserve"> pelo Refeitório e Cantina em 2020–2026 e o </w:t>
      </w:r>
      <w:r>
        <w:rPr>
          <w:b/>
          <w:bCs/>
        </w:rPr>
        <w:t xml:space="preserve">valor da consignação de IRS</w:t>
      </w:r>
      <w:r>
        <w:t xml:space="preserve"> recebido não são públicos.</w:t>
      </w:r>
    </w:p>
    <w:p>
      <w:pPr>
        <w:pStyle w:val="ListParagraph"/>
        <w:numPr>
          <w:ilvl w:val="0"/>
          <w:numId w:val="2"/>
        </w:numPr>
        <w:spacing w:after="70" w:line="276"/>
      </w:pPr>
      <w:r>
        <w:t xml:space="preserve"/>
      </w:r>
      <w:r>
        <w:rPr>
          <w:b/>
          <w:bCs/>
        </w:rPr>
        <w:t xml:space="preserve">Disponibilidade e prazos</w:t>
      </w:r>
      <w:r>
        <w:t xml:space="preserve"> de fundos além do CERV, PROCOOP e BPI/la Caixa (fundações e Portugal Inovação Social) não foram confirmados.</w:t>
      </w:r>
    </w:p>
    <w:p>
      <w:pPr>
        <w:pStyle w:val="ListParagraph"/>
        <w:numPr>
          <w:ilvl w:val="0"/>
          <w:numId w:val="2"/>
        </w:numPr>
        <w:spacing w:after="70" w:line="276"/>
      </w:pPr>
      <w:r>
        <w:t xml:space="preserve"/>
      </w:r>
      <w:r>
        <w:rPr>
          <w:b/>
          <w:bCs/>
        </w:rPr>
        <w:t xml:space="preserve">Confusão possível:</w:t>
      </w:r>
      <w:r>
        <w:t xml:space="preserve"> uma notícia sobre uma IPSS de Vila Cova (Barcelos) acusada de burla à Segurança Social </w:t>
      </w:r>
      <w:r>
        <w:rPr>
          <w:b/>
          <w:bCs/>
        </w:rPr>
        <w:t xml:space="preserve">não</w:t>
      </w:r>
      <w:r>
        <w:t xml:space="preserve"> diz respeito ao GASC.</w:t>
      </w:r>
    </w:p>
    <w:p>
      <w:pPr>
        <w:pStyle w:val="ListParagraph"/>
        <w:numPr>
          <w:ilvl w:val="0"/>
          <w:numId w:val="2"/>
        </w:numPr>
        <w:spacing w:after="70" w:line="276"/>
      </w:pPr>
      <w:r>
        <w:t xml:space="preserve">Este relatório é uma análise externa a partir de documentos públicos; não substitui a validação interna pela Direção.</w:t>
      </w:r>
    </w:p>
    <w:p>
      <w:pPr>
        <w:pStyle w:val="Heading1"/>
      </w:pPr>
      <w:r>
        <w:t xml:space="preserve">15. Fontes consultadas</w:t>
      </w:r>
    </w:p>
    <w:p>
      <w:pPr>
        <w:spacing w:after="120" w:line="288"/>
      </w:pPr>
      <w:r>
        <w:t xml:space="preserve">Consultadas entre 28 e 29 de setembro de 2026. Algumas páginas do Município e do GASC podem ter sido atualizadas desde então.</w:t>
      </w:r>
    </w:p>
    <w:p>
      <w:pPr>
        <w:pStyle w:val="ListParagraph"/>
        <w:numPr>
          <w:ilvl w:val="0"/>
          <w:numId w:val="2"/>
        </w:numPr>
        <w:spacing w:after="50"/>
      </w:pPr>
      <w:r>
        <w:rPr>
          <w:sz w:val="19"/>
          <w:szCs w:val="19"/>
        </w:rPr>
        <w:t xml:space="preserve">GASC – site institucional: </w:t>
      </w:r>
      <w:hyperlink w:history="1" r:id="rIdzbq7u8f1gsy-bp26p6rdd">
        <w:r>
          <w:rPr>
            <w:rStyle w:val="Hyperlink"/>
            <w:sz w:val="17"/>
            <w:szCs w:val="17"/>
          </w:rPr>
          <w:t xml:space="preserve">https://www.gasc-ipss.org/</w:t>
        </w:r>
      </w:hyperlink>
    </w:p>
    <w:p>
      <w:pPr>
        <w:pStyle w:val="ListParagraph"/>
        <w:numPr>
          <w:ilvl w:val="0"/>
          <w:numId w:val="2"/>
        </w:numPr>
        <w:spacing w:after="50"/>
      </w:pPr>
      <w:r>
        <w:rPr>
          <w:sz w:val="19"/>
          <w:szCs w:val="19"/>
        </w:rPr>
        <w:t xml:space="preserve">GASC – História: </w:t>
      </w:r>
      <w:hyperlink w:history="1" r:id="rIdywbq7dvrfzwwi9gkxk4_8">
        <w:r>
          <w:rPr>
            <w:rStyle w:val="Hyperlink"/>
            <w:sz w:val="17"/>
            <w:szCs w:val="17"/>
          </w:rPr>
          <w:t xml:space="preserve">https://www.gasc-ipss.org/historia.php</w:t>
        </w:r>
      </w:hyperlink>
    </w:p>
    <w:p>
      <w:pPr>
        <w:pStyle w:val="ListParagraph"/>
        <w:numPr>
          <w:ilvl w:val="0"/>
          <w:numId w:val="2"/>
        </w:numPr>
        <w:spacing w:after="50"/>
      </w:pPr>
      <w:r>
        <w:rPr>
          <w:sz w:val="19"/>
          <w:szCs w:val="19"/>
        </w:rPr>
        <w:t xml:space="preserve">GASC – Missão, visão e valores: </w:t>
      </w:r>
      <w:hyperlink w:history="1" r:id="rIdovkplqvifodkqxwrawduk">
        <w:r>
          <w:rPr>
            <w:rStyle w:val="Hyperlink"/>
            <w:sz w:val="17"/>
            <w:szCs w:val="17"/>
          </w:rPr>
          <w:t xml:space="preserve">https://www.gasc-ipss.org/visao.php</w:t>
        </w:r>
      </w:hyperlink>
    </w:p>
    <w:p>
      <w:pPr>
        <w:pStyle w:val="ListParagraph"/>
        <w:numPr>
          <w:ilvl w:val="0"/>
          <w:numId w:val="2"/>
        </w:numPr>
        <w:spacing w:after="50"/>
      </w:pPr>
      <w:r>
        <w:rPr>
          <w:sz w:val="19"/>
          <w:szCs w:val="19"/>
        </w:rPr>
        <w:t xml:space="preserve">GASC – Parcerias: </w:t>
      </w:r>
      <w:hyperlink w:history="1" r:id="rIdgdhg7anywmx6_lzb6xttt">
        <w:r>
          <w:rPr>
            <w:rStyle w:val="Hyperlink"/>
            <w:sz w:val="17"/>
            <w:szCs w:val="17"/>
          </w:rPr>
          <w:t xml:space="preserve">https://www.gasc-ipss.org/parcerias.php</w:t>
        </w:r>
      </w:hyperlink>
    </w:p>
    <w:p>
      <w:pPr>
        <w:pStyle w:val="ListParagraph"/>
        <w:numPr>
          <w:ilvl w:val="0"/>
          <w:numId w:val="2"/>
        </w:numPr>
        <w:spacing w:after="50"/>
      </w:pPr>
      <w:r>
        <w:rPr>
          <w:sz w:val="19"/>
          <w:szCs w:val="19"/>
        </w:rPr>
        <w:t xml:space="preserve">GASC – Projetos financiados: </w:t>
      </w:r>
      <w:hyperlink w:history="1" r:id="rIdiwabkhpesb5f54ewdayza">
        <w:r>
          <w:rPr>
            <w:rStyle w:val="Hyperlink"/>
            <w:sz w:val="17"/>
            <w:szCs w:val="17"/>
          </w:rPr>
          <w:t xml:space="preserve">https://www.gasc-ipss.org/projetos-financiados.php</w:t>
        </w:r>
      </w:hyperlink>
    </w:p>
    <w:p>
      <w:pPr>
        <w:pStyle w:val="ListParagraph"/>
        <w:numPr>
          <w:ilvl w:val="0"/>
          <w:numId w:val="2"/>
        </w:numPr>
        <w:spacing w:after="50"/>
      </w:pPr>
      <w:r>
        <w:rPr>
          <w:sz w:val="19"/>
          <w:szCs w:val="19"/>
        </w:rPr>
        <w:t xml:space="preserve">GASC – Voluntariado: </w:t>
      </w:r>
      <w:hyperlink w:history="1" r:id="rIda_kabapaayzfcaryg6qqs">
        <w:r>
          <w:rPr>
            <w:rStyle w:val="Hyperlink"/>
            <w:sz w:val="17"/>
            <w:szCs w:val="17"/>
          </w:rPr>
          <w:t xml:space="preserve">https://www.gasc-ipss.org/voluntariado.php</w:t>
        </w:r>
      </w:hyperlink>
    </w:p>
    <w:p>
      <w:pPr>
        <w:pStyle w:val="ListParagraph"/>
        <w:numPr>
          <w:ilvl w:val="0"/>
          <w:numId w:val="2"/>
        </w:numPr>
        <w:spacing w:after="50"/>
      </w:pPr>
      <w:r>
        <w:rPr>
          <w:sz w:val="19"/>
          <w:szCs w:val="19"/>
        </w:rPr>
        <w:t xml:space="preserve">GASC – Consignação de IRS: </w:t>
      </w:r>
      <w:hyperlink w:history="1" r:id="rIdzeil_sb3jeq9ktcg7ylyb">
        <w:r>
          <w:rPr>
            <w:rStyle w:val="Hyperlink"/>
            <w:sz w:val="17"/>
            <w:szCs w:val="17"/>
          </w:rPr>
          <w:t xml:space="preserve">https://www.gasc-ipss.org/irs.php</w:t>
        </w:r>
      </w:hyperlink>
    </w:p>
    <w:p>
      <w:pPr>
        <w:pStyle w:val="ListParagraph"/>
        <w:numPr>
          <w:ilvl w:val="0"/>
          <w:numId w:val="2"/>
        </w:numPr>
        <w:spacing w:after="50"/>
      </w:pPr>
      <w:r>
        <w:rPr>
          <w:sz w:val="19"/>
          <w:szCs w:val="19"/>
        </w:rPr>
        <w:t xml:space="preserve">GASC – Relatório de Contas 2025: </w:t>
      </w:r>
      <w:hyperlink w:history="1" r:id="rIdcnqxvyhez7mnrd66snjsn">
        <w:r>
          <w:rPr>
            <w:rStyle w:val="Hyperlink"/>
            <w:sz w:val="17"/>
            <w:szCs w:val="17"/>
          </w:rPr>
          <w:t xml:space="preserve">https://www.gasc-ipss.org/RelatoriodeContas2025.pdf</w:t>
        </w:r>
      </w:hyperlink>
    </w:p>
    <w:p>
      <w:pPr>
        <w:pStyle w:val="ListParagraph"/>
        <w:numPr>
          <w:ilvl w:val="0"/>
          <w:numId w:val="2"/>
        </w:numPr>
        <w:spacing w:after="50"/>
      </w:pPr>
      <w:r>
        <w:rPr>
          <w:sz w:val="19"/>
          <w:szCs w:val="19"/>
        </w:rPr>
        <w:t xml:space="preserve">GASC – Orçamento Previsional 2026: </w:t>
      </w:r>
      <w:hyperlink w:history="1" r:id="rId-2uw9xbgakf22jvgbazox">
        <w:r>
          <w:rPr>
            <w:rStyle w:val="Hyperlink"/>
            <w:sz w:val="17"/>
            <w:szCs w:val="17"/>
          </w:rPr>
          <w:t xml:space="preserve">https://www.gasc-ipss.org/uploads/files/orcamento2026.pdf</w:t>
        </w:r>
      </w:hyperlink>
    </w:p>
    <w:p>
      <w:pPr>
        <w:pStyle w:val="ListParagraph"/>
        <w:numPr>
          <w:ilvl w:val="0"/>
          <w:numId w:val="2"/>
        </w:numPr>
        <w:spacing w:after="50"/>
      </w:pPr>
      <w:r>
        <w:rPr>
          <w:sz w:val="19"/>
          <w:szCs w:val="19"/>
        </w:rPr>
        <w:t xml:space="preserve">GASC – Relatório de Atividades 4.º Trim. 2025: </w:t>
      </w:r>
      <w:hyperlink w:history="1" r:id="rId9tndlgxjaqxzlmlwjmpcz">
        <w:r>
          <w:rPr>
            <w:rStyle w:val="Hyperlink"/>
            <w:sz w:val="17"/>
            <w:szCs w:val="17"/>
          </w:rPr>
          <w:t xml:space="preserve">http://www.gasc-ipss.org/Relatorio_de_Atividades_4_Trimestre_2025.pdf</w:t>
        </w:r>
      </w:hyperlink>
    </w:p>
    <w:p>
      <w:pPr>
        <w:pStyle w:val="ListParagraph"/>
        <w:numPr>
          <w:ilvl w:val="0"/>
          <w:numId w:val="2"/>
        </w:numPr>
        <w:spacing w:after="50"/>
      </w:pPr>
      <w:r>
        <w:rPr>
          <w:sz w:val="19"/>
          <w:szCs w:val="19"/>
        </w:rPr>
        <w:t xml:space="preserve">Câmara Municipal de Barcelos – GASC: </w:t>
      </w:r>
      <w:hyperlink w:history="1" r:id="rId5htr18rtvc84qbknncevu">
        <w:r>
          <w:rPr>
            <w:rStyle w:val="Hyperlink"/>
            <w:sz w:val="17"/>
            <w:szCs w:val="17"/>
          </w:rPr>
          <w:t xml:space="preserve">https://www.cm-barcelos.pt/viver/acao-social-e-saude-antiga/entidades-promotoras/gasc-grupo-de-acao-social-crista/</w:t>
        </w:r>
      </w:hyperlink>
    </w:p>
    <w:p>
      <w:pPr>
        <w:pStyle w:val="ListParagraph"/>
        <w:numPr>
          <w:ilvl w:val="0"/>
          <w:numId w:val="2"/>
        </w:numPr>
        <w:spacing w:after="50"/>
      </w:pPr>
      <w:r>
        <w:rPr>
          <w:sz w:val="19"/>
          <w:szCs w:val="19"/>
        </w:rPr>
        <w:t xml:space="preserve">Facebook do GASC (não analisado): </w:t>
      </w:r>
      <w:hyperlink w:history="1" r:id="rIdplg6fkqt8dq2gvgxctzkj">
        <w:r>
          <w:rPr>
            <w:rStyle w:val="Hyperlink"/>
            <w:sz w:val="17"/>
            <w:szCs w:val="17"/>
          </w:rPr>
          <w:t xml:space="preserve">https://www.facebook.com/GASC.Barcelos/</w:t>
        </w:r>
      </w:hyperlink>
    </w:p>
    <w:p>
      <w:pPr>
        <w:pStyle w:val="ListParagraph"/>
        <w:numPr>
          <w:ilvl w:val="0"/>
          <w:numId w:val="2"/>
        </w:numPr>
        <w:spacing w:after="50"/>
      </w:pPr>
      <w:r>
        <w:rPr>
          <w:sz w:val="19"/>
          <w:szCs w:val="19"/>
        </w:rPr>
        <w:t xml:space="preserve">Mapa Social – GASC: </w:t>
      </w:r>
      <w:hyperlink w:history="1" r:id="rId-5rhyihniw4hfhjfe3qsh">
        <w:r>
          <w:rPr>
            <w:rStyle w:val="Hyperlink"/>
            <w:sz w:val="17"/>
            <w:szCs w:val="17"/>
          </w:rPr>
          <w:t xml:space="preserve">https://www.mapasocial.pt/pt/grupo-de-accao-social-crista-gasc/I4218</w:t>
        </w:r>
      </w:hyperlink>
    </w:p>
    <w:p>
      <w:pPr>
        <w:pStyle w:val="ListParagraph"/>
        <w:numPr>
          <w:ilvl w:val="0"/>
          <w:numId w:val="2"/>
        </w:numPr>
        <w:spacing w:after="50"/>
      </w:pPr>
      <w:r>
        <w:rPr>
          <w:sz w:val="19"/>
          <w:szCs w:val="19"/>
        </w:rPr>
        <w:t xml:space="preserve">PESSOAS 2030 – Lista de operações aprovadas (28/02/2026): </w:t>
      </w:r>
      <w:hyperlink w:history="1" r:id="rIduxmozeegnbf6eommxdplj">
        <w:r>
          <w:rPr>
            <w:rStyle w:val="Hyperlink"/>
            <w:sz w:val="17"/>
            <w:szCs w:val="17"/>
          </w:rPr>
          <w:t xml:space="preserve">https://pessoas2030.gov.pt/wp-content/uploads/sites/19/2026/04/Lista-Operacoes-Aprovadas_28.02.2026.pdf</w:t>
        </w:r>
      </w:hyperlink>
    </w:p>
    <w:p>
      <w:pPr>
        <w:pStyle w:val="ListParagraph"/>
        <w:numPr>
          <w:ilvl w:val="0"/>
          <w:numId w:val="2"/>
        </w:numPr>
        <w:spacing w:after="50"/>
      </w:pPr>
      <w:r>
        <w:rPr>
          <w:sz w:val="19"/>
          <w:szCs w:val="19"/>
        </w:rPr>
        <w:t xml:space="preserve">CIG – Lista final AAC-4: </w:t>
      </w:r>
      <w:hyperlink w:history="1" r:id="rId_vt0mcsdrshsgcabcvqd4">
        <w:r>
          <w:rPr>
            <w:rStyle w:val="Hyperlink"/>
            <w:sz w:val="17"/>
            <w:szCs w:val="17"/>
          </w:rPr>
          <w:t xml:space="preserve">https://www.cig.gov.pt/wp-content/uploads/2024/11/AAC-4_Lista-final-aprovada_VF.pdf</w:t>
        </w:r>
      </w:hyperlink>
    </w:p>
    <w:p>
      <w:pPr>
        <w:pStyle w:val="ListParagraph"/>
        <w:numPr>
          <w:ilvl w:val="0"/>
          <w:numId w:val="2"/>
        </w:numPr>
        <w:spacing w:after="50"/>
      </w:pPr>
      <w:r>
        <w:rPr>
          <w:sz w:val="19"/>
          <w:szCs w:val="19"/>
        </w:rPr>
        <w:t xml:space="preserve">POISE – Operações aprovadas: </w:t>
      </w:r>
      <w:hyperlink w:history="1" r:id="rIdxcfzwmtqq2brnnssh9usa">
        <w:r>
          <w:rPr>
            <w:rStyle w:val="Hyperlink"/>
            <w:sz w:val="17"/>
            <w:szCs w:val="17"/>
          </w:rPr>
          <w:t xml:space="preserve">https://poise.portugal2020.pt/operacoes-aprovadas</w:t>
        </w:r>
      </w:hyperlink>
    </w:p>
    <w:p>
      <w:pPr>
        <w:pStyle w:val="ListParagraph"/>
        <w:numPr>
          <w:ilvl w:val="0"/>
          <w:numId w:val="2"/>
        </w:numPr>
        <w:spacing w:after="50"/>
      </w:pPr>
      <w:r>
        <w:rPr>
          <w:sz w:val="19"/>
          <w:szCs w:val="19"/>
        </w:rPr>
        <w:t xml:space="preserve">AT – Entidades beneficiárias da consignação: </w:t>
      </w:r>
      <w:hyperlink w:history="1" r:id="rIdshba1wh5t9dhyjijya9bb">
        <w:r>
          <w:rPr>
            <w:rStyle w:val="Hyperlink"/>
            <w:sz w:val="17"/>
            <w:szCs w:val="17"/>
          </w:rPr>
          <w:t xml:space="preserve">https://info.portaldasfinancas.gov.pt/pt/apoio_contribuinte/IRS/Pages/IRS_entidades_beneficiarias_consignacao.aspx</w:t>
        </w:r>
      </w:hyperlink>
    </w:p>
    <w:p>
      <w:pPr>
        <w:pStyle w:val="ListParagraph"/>
        <w:numPr>
          <w:ilvl w:val="0"/>
          <w:numId w:val="2"/>
        </w:numPr>
        <w:spacing w:after="50"/>
      </w:pPr>
      <w:r>
        <w:rPr>
          <w:sz w:val="19"/>
          <w:szCs w:val="19"/>
        </w:rPr>
        <w:t xml:space="preserve">Portal BASE – contratos públicos: </w:t>
      </w:r>
      <w:hyperlink w:history="1" r:id="rId2xh33zpi9detfo7kvy445">
        <w:r>
          <w:rPr>
            <w:rStyle w:val="Hyperlink"/>
            <w:sz w:val="17"/>
            <w:szCs w:val="17"/>
          </w:rPr>
          <w:t xml:space="preserve">https://www.base.gov.pt</w:t>
        </w:r>
      </w:hyperlink>
    </w:p>
    <w:p>
      <w:pPr>
        <w:pStyle w:val="ListParagraph"/>
        <w:numPr>
          <w:ilvl w:val="0"/>
          <w:numId w:val="2"/>
        </w:numPr>
        <w:spacing w:after="50"/>
      </w:pPr>
      <w:r>
        <w:rPr>
          <w:sz w:val="19"/>
          <w:szCs w:val="19"/>
        </w:rPr>
        <w:t xml:space="preserve">JN – Barcelos foi o concelho onde mais pessoas deixaram de ser sem-abrigo: </w:t>
      </w:r>
      <w:hyperlink w:history="1" r:id="rIdzkwaut-owtsvazwj8xgqg">
        <w:r>
          <w:rPr>
            <w:rStyle w:val="Hyperlink"/>
            <w:sz w:val="17"/>
            <w:szCs w:val="17"/>
          </w:rPr>
          <w:t xml:space="preserve">https://www.jn.pt/pais/artigo/barcelos-foi-o-concelho-onde-mais-pessoas-deixaram-de-ser-sem-abrigo/18031972</w:t>
        </w:r>
      </w:hyperlink>
    </w:p>
    <w:p>
      <w:pPr>
        <w:pStyle w:val="ListParagraph"/>
        <w:numPr>
          <w:ilvl w:val="0"/>
          <w:numId w:val="2"/>
        </w:numPr>
        <w:spacing w:after="50"/>
      </w:pPr>
      <w:r>
        <w:rPr>
          <w:sz w:val="19"/>
          <w:szCs w:val="19"/>
        </w:rPr>
        <w:t xml:space="preserve">CM Barcelos – Intervenção especializada (dez. 2025): </w:t>
      </w:r>
      <w:hyperlink w:history="1" r:id="rIdzixhlgagcjrpayxjecft-">
        <w:r>
          <w:rPr>
            <w:rStyle w:val="Hyperlink"/>
            <w:sz w:val="17"/>
            <w:szCs w:val="17"/>
          </w:rPr>
          <w:t xml:space="preserve">https://www.cm-barcelos.pt/2025/12/intervencao-especializada-coloca-barcelos-como-exemplo-de-apoio-aos-sem-abrigo/</w:t>
        </w:r>
      </w:hyperlink>
    </w:p>
    <w:p>
      <w:pPr>
        <w:pStyle w:val="ListParagraph"/>
        <w:numPr>
          <w:ilvl w:val="0"/>
          <w:numId w:val="2"/>
        </w:numPr>
        <w:spacing w:after="50"/>
      </w:pPr>
      <w:r>
        <w:rPr>
          <w:sz w:val="19"/>
          <w:szCs w:val="19"/>
        </w:rPr>
        <w:t xml:space="preserve">CM Barcelos – Coordenador da ENIPSSA (jan. 2026): </w:t>
      </w:r>
      <w:hyperlink w:history="1" r:id="rIdepj6ru_ppm3sl7qu6dicq">
        <w:r>
          <w:rPr>
            <w:rStyle w:val="Hyperlink"/>
            <w:sz w:val="17"/>
            <w:szCs w:val="17"/>
          </w:rPr>
          <w:t xml:space="preserve">https://www.cm-barcelos.pt/2026/01/coordenador-nacional-da-enipssa-aponta-barcelos-como-modelo-a-seguir-na-integracao-dos-sem-abrigo/</w:t>
        </w:r>
      </w:hyperlink>
    </w:p>
    <w:p>
      <w:pPr>
        <w:pStyle w:val="ListParagraph"/>
        <w:numPr>
          <w:ilvl w:val="0"/>
          <w:numId w:val="2"/>
        </w:numPr>
        <w:spacing w:after="50"/>
      </w:pPr>
      <w:r>
        <w:rPr>
          <w:sz w:val="19"/>
          <w:szCs w:val="19"/>
        </w:rPr>
        <w:t xml:space="preserve">Correio do Minho – Projeto Sou+ (2023): </w:t>
      </w:r>
      <w:hyperlink w:history="1" r:id="rIdciqnmzcjuxykjbih9meve">
        <w:r>
          <w:rPr>
            <w:rStyle w:val="Hyperlink"/>
            <w:sz w:val="17"/>
            <w:szCs w:val="17"/>
          </w:rPr>
          <w:t xml:space="preserve">https://correiodominho.pt/noticias/projecto-sou-muda-a-vida-de-pessoas-sem-abrigo-em-barcelos/145416</w:t>
        </w:r>
      </w:hyperlink>
    </w:p>
    <w:p>
      <w:pPr>
        <w:pStyle w:val="ListParagraph"/>
        <w:numPr>
          <w:ilvl w:val="0"/>
          <w:numId w:val="2"/>
        </w:numPr>
        <w:spacing w:after="50"/>
      </w:pPr>
      <w:r>
        <w:rPr>
          <w:sz w:val="19"/>
          <w:szCs w:val="19"/>
        </w:rPr>
        <w:t xml:space="preserve">CM Barcelos – Selo para a Igualdade (2023): </w:t>
      </w:r>
      <w:hyperlink w:history="1" r:id="rIdw2nbhdmpfacsjqfy92bob">
        <w:r>
          <w:rPr>
            <w:rStyle w:val="Hyperlink"/>
            <w:sz w:val="17"/>
            <w:szCs w:val="17"/>
          </w:rPr>
          <w:t xml:space="preserve">https://www.cm-barcelos.pt/2023/10/gasc-distinguido-com-selo-municipal-para-a-igualdade-e-conciliacao/</w:t>
        </w:r>
      </w:hyperlink>
    </w:p>
    <w:p>
      <w:pPr>
        <w:pStyle w:val="ListParagraph"/>
        <w:numPr>
          <w:ilvl w:val="0"/>
          <w:numId w:val="2"/>
        </w:numPr>
        <w:spacing w:after="50"/>
      </w:pPr>
      <w:r>
        <w:rPr>
          <w:sz w:val="19"/>
          <w:szCs w:val="19"/>
        </w:rPr>
        <w:t xml:space="preserve">Diário do Minho – SAAS (2024): </w:t>
      </w:r>
      <w:hyperlink w:history="1" r:id="rIdnockwi2u1jkskhrrwxrf5">
        <w:r>
          <w:rPr>
            <w:rStyle w:val="Hyperlink"/>
            <w:sz w:val="17"/>
            <w:szCs w:val="17"/>
          </w:rPr>
          <w:t xml:space="preserve">https://www.diariodominho.pt/noticias/regiao/2024-02-06-servicos-de-acompanhamento-social-de-barcelos-atenderam-mais-de-tres-mil-pessoas-65c25472d6a20</w:t>
        </w:r>
      </w:hyperlink>
    </w:p>
    <w:p>
      <w:pPr>
        <w:pStyle w:val="ListParagraph"/>
        <w:numPr>
          <w:ilvl w:val="0"/>
          <w:numId w:val="2"/>
        </w:numPr>
        <w:spacing w:after="50"/>
      </w:pPr>
      <w:r>
        <w:rPr>
          <w:sz w:val="19"/>
          <w:szCs w:val="19"/>
        </w:rPr>
        <w:t xml:space="preserve">CNIS – PROCOOP 2026: </w:t>
      </w:r>
      <w:hyperlink w:history="1" r:id="rId47iqg8vrkqhxscapwdakg">
        <w:r>
          <w:rPr>
            <w:rStyle w:val="Hyperlink"/>
            <w:sz w:val="17"/>
            <w:szCs w:val="17"/>
          </w:rPr>
          <w:t xml:space="preserve">https://cnis.pt/2026/07/27/aviso-de-abertura-de-candidaturas-ao-procoop-e-novas-respostas-isentas-de-procedimento/</w:t>
        </w:r>
      </w:hyperlink>
    </w:p>
    <w:p>
      <w:pPr>
        <w:pStyle w:val="ListParagraph"/>
        <w:numPr>
          <w:ilvl w:val="0"/>
          <w:numId w:val="2"/>
        </w:numPr>
        <w:spacing w:after="50"/>
      </w:pPr>
      <w:r>
        <w:rPr>
          <w:sz w:val="19"/>
          <w:szCs w:val="19"/>
        </w:rPr>
        <w:t xml:space="preserve">Fundação “la Caixa” – Prémio BPI Solidário: </w:t>
      </w:r>
      <w:hyperlink w:history="1" r:id="rIdy-witsxprkrcbszibqm_y">
        <w:r>
          <w:rPr>
            <w:rStyle w:val="Hyperlink"/>
            <w:sz w:val="17"/>
            <w:szCs w:val="17"/>
          </w:rPr>
          <w:t xml:space="preserve">https://fundacaolacaixa.pt/pt/premio-bpi-fundacao-la-caixa-solidario</w:t>
        </w:r>
      </w:hyperlink>
    </w:p>
    <w:p>
      <w:pPr>
        <w:pStyle w:val="ListParagraph"/>
        <w:numPr>
          <w:ilvl w:val="0"/>
          <w:numId w:val="2"/>
        </w:numPr>
        <w:spacing w:after="50"/>
      </w:pPr>
      <w:r>
        <w:rPr>
          <w:sz w:val="19"/>
          <w:szCs w:val="19"/>
        </w:rPr>
        <w:t xml:space="preserve">CERV-2026-DAPHNE – ficha de convocatória: </w:t>
      </w:r>
      <w:hyperlink w:history="1" r:id="rIdl7z-hcploasfwimp-nurd">
        <w:r>
          <w:rPr>
            <w:rStyle w:val="Hyperlink"/>
            <w:sz w:val="17"/>
            <w:szCs w:val="17"/>
          </w:rPr>
          <w:t xml:space="preserve">https://ec.europa.eu/info/funding-tenders/opportunities/docs/2021-2027/cerv/wp-call/2026/call-fiche_cerv-2026-daphne_en.pdf</w:t>
        </w:r>
      </w:hyperlink>
    </w:p>
    <w:p>
      <w:pPr>
        <w:pStyle w:val="ListParagraph"/>
        <w:numPr>
          <w:ilvl w:val="0"/>
          <w:numId w:val="2"/>
        </w:numPr>
        <w:spacing w:after="50"/>
      </w:pPr>
      <w:r>
        <w:rPr>
          <w:sz w:val="19"/>
          <w:szCs w:val="19"/>
        </w:rPr>
        <w:t xml:space="preserve">Portugal Inovação Social 2030: </w:t>
      </w:r>
      <w:hyperlink w:history="1" r:id="rIdmojz5izuqbd2tjhooceoq">
        <w:r>
          <w:rPr>
            <w:rStyle w:val="Hyperlink"/>
            <w:sz w:val="17"/>
            <w:szCs w:val="17"/>
          </w:rPr>
          <w:t xml:space="preserve">https://pis.portugal2030.pt/parcerias-para-a-inovacao-social/</w:t>
        </w:r>
      </w:hyperlink>
    </w:p>
    <w:p>
      <w:pPr>
        <w:pStyle w:val="ListParagraph"/>
        <w:numPr>
          <w:ilvl w:val="0"/>
          <w:numId w:val="2"/>
        </w:numPr>
        <w:spacing w:after="50"/>
      </w:pPr>
      <w:r>
        <w:rPr>
          <w:sz w:val="19"/>
          <w:szCs w:val="19"/>
        </w:rPr>
        <w:t xml:space="preserve">OCC – Donativos / Estatuto do Mecenato: </w:t>
      </w:r>
      <w:hyperlink w:history="1" r:id="rIdamwz-jarwz5r6gtrfgl0o">
        <w:r>
          <w:rPr>
            <w:rStyle w:val="Hyperlink"/>
            <w:sz w:val="17"/>
            <w:szCs w:val="17"/>
          </w:rPr>
          <w:t xml:space="preserve">https://occ.pt/pt-pt/noticias/irc-donativos-2</w:t>
        </w:r>
      </w:hyperlink>
    </w:p>
    <w:p>
      <w:pPr>
        <w:pStyle w:val="ListParagraph"/>
        <w:numPr>
          <w:ilvl w:val="0"/>
          <w:numId w:val="2"/>
        </w:numPr>
        <w:spacing w:after="50"/>
      </w:pPr>
      <w:r>
        <w:rPr>
          <w:sz w:val="19"/>
          <w:szCs w:val="19"/>
        </w:rPr>
        <w:t xml:space="preserve">CIG – Gestão de vagas RNAVVD: </w:t>
      </w:r>
      <w:hyperlink w:history="1" r:id="rIdt5ay89qcep_w5qmt_lvjj">
        <w:r>
          <w:rPr>
            <w:rStyle w:val="Hyperlink"/>
            <w:sz w:val="17"/>
            <w:szCs w:val="17"/>
          </w:rPr>
          <w:t xml:space="preserve">https://www.cig.gov.pt/area-portal-da-violencia/portal-violencia-domestica/rnavvd/gestao-de-vagas/</w:t>
        </w:r>
      </w:hyperlink>
    </w:p>
    <w:p>
      <w:pPr>
        <w:pStyle w:val="ListParagraph"/>
        <w:numPr>
          <w:ilvl w:val="0"/>
          <w:numId w:val="2"/>
        </w:numPr>
        <w:spacing w:after="50"/>
      </w:pPr>
      <w:r>
        <w:rPr>
          <w:sz w:val="19"/>
          <w:szCs w:val="19"/>
        </w:rPr>
        <w:t xml:space="preserve">Diagnóstico Social de Barcelos 2024: </w:t>
      </w:r>
      <w:hyperlink w:history="1" r:id="rIdjk-dxsmzkmsmw50hhrvcj">
        <w:r>
          <w:rPr>
            <w:rStyle w:val="Hyperlink"/>
            <w:sz w:val="17"/>
            <w:szCs w:val="17"/>
          </w:rPr>
          <w:t xml:space="preserve">https://www.cm-barcelos.pt/wp-content/uploads/2025/04/Diagnostico-Social-2024.pdf</w:t>
        </w:r>
      </w:hyperlink>
    </w:p>
    <w:sectPr>
      <w:headerReference w:type="default" r:id="rId6"/>
      <w:headerReference w:type="first" r:id="rId7"/>
      <w:footerReference w:type="default" r:id="rId8"/>
      <w:footerReference w:type="first" r:id="rId9"/>
      <w:pgSz w:w="11906" w:h="16838" w:orient="portrait"/>
      <w:pgMar w:top="1300" w:right="1134" w:bottom="1200"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GASC – Grupo de Ação Social Cristã · Relatório de análise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702A" w:sz="8" w:space="4"/>
      </w:pBdr>
      <w:spacing w:after="160" w:before="360"/>
      <w:outlineLvl w:val="0"/>
    </w:pPr>
    <w:rPr>
      <w:rFonts w:ascii="Calibri" w:cs="Calibri" w:eastAsia="Calibri" w:hAnsi="Calibri"/>
      <w:b/>
      <w:bCs/>
      <w:color w:val="1F4E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F4E5F"/>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C8702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zbq7u8f1gsy-bp26p6rdd" Type="http://schemas.openxmlformats.org/officeDocument/2006/relationships/hyperlink" Target="https://www.gasc-ipss.org/" TargetMode="External"/><Relationship Id="rIdywbq7dvrfzwwi9gkxk4_8" Type="http://schemas.openxmlformats.org/officeDocument/2006/relationships/hyperlink" Target="https://www.gasc-ipss.org/historia.php" TargetMode="External"/><Relationship Id="rIdovkplqvifodkqxwrawduk" Type="http://schemas.openxmlformats.org/officeDocument/2006/relationships/hyperlink" Target="https://www.gasc-ipss.org/visao.php" TargetMode="External"/><Relationship Id="rIdgdhg7anywmx6_lzb6xttt" Type="http://schemas.openxmlformats.org/officeDocument/2006/relationships/hyperlink" Target="https://www.gasc-ipss.org/parcerias.php" TargetMode="External"/><Relationship Id="rIdiwabkhpesb5f54ewdayza" Type="http://schemas.openxmlformats.org/officeDocument/2006/relationships/hyperlink" Target="https://www.gasc-ipss.org/projetos-financiados.php" TargetMode="External"/><Relationship Id="rIda_kabapaayzfcaryg6qqs" Type="http://schemas.openxmlformats.org/officeDocument/2006/relationships/hyperlink" Target="https://www.gasc-ipss.org/voluntariado.php" TargetMode="External"/><Relationship Id="rIdzeil_sb3jeq9ktcg7ylyb" Type="http://schemas.openxmlformats.org/officeDocument/2006/relationships/hyperlink" Target="https://www.gasc-ipss.org/irs.php" TargetMode="External"/><Relationship Id="rIdcnqxvyhez7mnrd66snjsn" Type="http://schemas.openxmlformats.org/officeDocument/2006/relationships/hyperlink" Target="https://www.gasc-ipss.org/RelatoriodeContas2025.pdf" TargetMode="External"/><Relationship Id="rId-2uw9xbgakf22jvgbazox" Type="http://schemas.openxmlformats.org/officeDocument/2006/relationships/hyperlink" Target="https://www.gasc-ipss.org/uploads/files/orcamento2026.pdf" TargetMode="External"/><Relationship Id="rId9tndlgxjaqxzlmlwjmpcz" Type="http://schemas.openxmlformats.org/officeDocument/2006/relationships/hyperlink" Target="http://www.gasc-ipss.org/Relatorio_de_Atividades_4_Trimestre_2025.pdf" TargetMode="External"/><Relationship Id="rId5htr18rtvc84qbknncevu" Type="http://schemas.openxmlformats.org/officeDocument/2006/relationships/hyperlink" Target="https://www.cm-barcelos.pt/viver/acao-social-e-saude-antiga/entidades-promotoras/gasc-grupo-de-acao-social-crista/" TargetMode="External"/><Relationship Id="rIdplg6fkqt8dq2gvgxctzkj" Type="http://schemas.openxmlformats.org/officeDocument/2006/relationships/hyperlink" Target="https://www.facebook.com/GASC.Barcelos/" TargetMode="External"/><Relationship Id="rId-5rhyihniw4hfhjfe3qsh" Type="http://schemas.openxmlformats.org/officeDocument/2006/relationships/hyperlink" Target="https://www.mapasocial.pt/pt/grupo-de-accao-social-crista-gasc/I4218" TargetMode="External"/><Relationship Id="rIduxmozeegnbf6eommxdplj" Type="http://schemas.openxmlformats.org/officeDocument/2006/relationships/hyperlink" Target="https://pessoas2030.gov.pt/wp-content/uploads/sites/19/2026/04/Lista-Operacoes-Aprovadas_28.02.2026.pdf" TargetMode="External"/><Relationship Id="rId_vt0mcsdrshsgcabcvqd4" Type="http://schemas.openxmlformats.org/officeDocument/2006/relationships/hyperlink" Target="https://www.cig.gov.pt/wp-content/uploads/2024/11/AAC-4_Lista-final-aprovada_VF.pdf" TargetMode="External"/><Relationship Id="rIdxcfzwmtqq2brnnssh9usa" Type="http://schemas.openxmlformats.org/officeDocument/2006/relationships/hyperlink" Target="https://poise.portugal2020.pt/operacoes-aprovadas" TargetMode="External"/><Relationship Id="rIdshba1wh5t9dhyjijya9bb" Type="http://schemas.openxmlformats.org/officeDocument/2006/relationships/hyperlink" Target="https://info.portaldasfinancas.gov.pt/pt/apoio_contribuinte/IRS/Pages/IRS_entidades_beneficiarias_consignacao.aspx" TargetMode="External"/><Relationship Id="rId2xh33zpi9detfo7kvy445" Type="http://schemas.openxmlformats.org/officeDocument/2006/relationships/hyperlink" Target="https://www.base.gov.pt" TargetMode="External"/><Relationship Id="rIdzkwaut-owtsvazwj8xgqg" Type="http://schemas.openxmlformats.org/officeDocument/2006/relationships/hyperlink" Target="https://www.jn.pt/pais/artigo/barcelos-foi-o-concelho-onde-mais-pessoas-deixaram-de-ser-sem-abrigo/18031972" TargetMode="External"/><Relationship Id="rIdzixhlgagcjrpayxjecft-" Type="http://schemas.openxmlformats.org/officeDocument/2006/relationships/hyperlink" Target="https://www.cm-barcelos.pt/2025/12/intervencao-especializada-coloca-barcelos-como-exemplo-de-apoio-aos-sem-abrigo/" TargetMode="External"/><Relationship Id="rIdepj6ru_ppm3sl7qu6dicq" Type="http://schemas.openxmlformats.org/officeDocument/2006/relationships/hyperlink" Target="https://www.cm-barcelos.pt/2026/01/coordenador-nacional-da-enipssa-aponta-barcelos-como-modelo-a-seguir-na-integracao-dos-sem-abrigo/" TargetMode="External"/><Relationship Id="rIdciqnmzcjuxykjbih9meve" Type="http://schemas.openxmlformats.org/officeDocument/2006/relationships/hyperlink" Target="https://correiodominho.pt/noticias/projecto-sou-muda-a-vida-de-pessoas-sem-abrigo-em-barcelos/145416" TargetMode="External"/><Relationship Id="rIdw2nbhdmpfacsjqfy92bob" Type="http://schemas.openxmlformats.org/officeDocument/2006/relationships/hyperlink" Target="https://www.cm-barcelos.pt/2023/10/gasc-distinguido-com-selo-municipal-para-a-igualdade-e-conciliacao/" TargetMode="External"/><Relationship Id="rIdnockwi2u1jkskhrrwxrf5" Type="http://schemas.openxmlformats.org/officeDocument/2006/relationships/hyperlink" Target="https://www.diariodominho.pt/noticias/regiao/2024-02-06-servicos-de-acompanhamento-social-de-barcelos-atenderam-mais-de-tres-mil-pessoas-65c25472d6a20" TargetMode="External"/><Relationship Id="rId47iqg8vrkqhxscapwdakg" Type="http://schemas.openxmlformats.org/officeDocument/2006/relationships/hyperlink" Target="https://cnis.pt/2026/07/27/aviso-de-abertura-de-candidaturas-ao-procoop-e-novas-respostas-isentas-de-procedimento/" TargetMode="External"/><Relationship Id="rIdy-witsxprkrcbszibqm_y" Type="http://schemas.openxmlformats.org/officeDocument/2006/relationships/hyperlink" Target="https://fundacaolacaixa.pt/pt/premio-bpi-fundacao-la-caixa-solidario" TargetMode="External"/><Relationship Id="rIdl7z-hcploasfwimp-nurd" Type="http://schemas.openxmlformats.org/officeDocument/2006/relationships/hyperlink" Target="https://ec.europa.eu/info/funding-tenders/opportunities/docs/2021-2027/cerv/wp-call/2026/call-fiche_cerv-2026-daphne_en.pdf" TargetMode="External"/><Relationship Id="rIdmojz5izuqbd2tjhooceoq" Type="http://schemas.openxmlformats.org/officeDocument/2006/relationships/hyperlink" Target="https://pis.portugal2030.pt/parcerias-para-a-inovacao-social/" TargetMode="External"/><Relationship Id="rIdamwz-jarwz5r6gtrfgl0o" Type="http://schemas.openxmlformats.org/officeDocument/2006/relationships/hyperlink" Target="https://occ.pt/pt-pt/noticias/irc-donativos-2" TargetMode="External"/><Relationship Id="rIdt5ay89qcep_w5qmt_lvjj" Type="http://schemas.openxmlformats.org/officeDocument/2006/relationships/hyperlink" Target="https://www.cig.gov.pt/area-portal-da-violencia/portal-violencia-domestica/rnavvd/gestao-de-vagas/" TargetMode="External"/><Relationship Id="rIdjk-dxsmzkmsmw50hhrvcj" Type="http://schemas.openxmlformats.org/officeDocument/2006/relationships/hyperlink" Target="https://www.cm-barcelos.pt/wp-content/uploads/2025/04/Diagnostico-Social-2024.pdf"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GASC Barcelos</dc:title>
  <dc:creator>Claude</dc:creator>
  <cp:lastModifiedBy>Un-named</cp:lastModifiedBy>
  <cp:revision>1</cp:revision>
  <dcterms:created xsi:type="dcterms:W3CDTF">2026-09-29T09:49:59.280Z</dcterms:created>
  <dcterms:modified xsi:type="dcterms:W3CDTF">2026-09-29T09:49:59.283Z</dcterms:modified>
</cp:coreProperties>
</file>

<file path=docProps/custom.xml><?xml version="1.0" encoding="utf-8"?>
<Properties xmlns="http://schemas.openxmlformats.org/officeDocument/2006/custom-properties" xmlns:vt="http://schemas.openxmlformats.org/officeDocument/2006/docPropsVTypes"/>
</file>