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8A10B" w14:textId="77777777" w:rsidR="009E3063" w:rsidRDefault="00407135">
      <w:pPr>
        <w:spacing w:before="700"/>
        <w:jc w:val="center"/>
      </w:pPr>
      <w:r>
        <w:rPr>
          <w:b/>
          <w:color w:val="2F75B5"/>
          <w:sz w:val="22"/>
        </w:rPr>
        <w:t>MICHAEL'S FOUNDATIONS</w:t>
      </w:r>
    </w:p>
    <w:p w14:paraId="509708D3" w14:textId="77777777" w:rsidR="009E3063" w:rsidRDefault="00407135">
      <w:pPr>
        <w:pStyle w:val="Title"/>
        <w:jc w:val="center"/>
      </w:pPr>
      <w:r>
        <w:t>Portable Component Packages</w:t>
      </w:r>
    </w:p>
    <w:p w14:paraId="4D3A5ACC" w14:textId="77777777" w:rsidR="009E3063" w:rsidRDefault="00407135">
      <w:pPr>
        <w:jc w:val="center"/>
      </w:pPr>
      <w:r>
        <w:rPr>
          <w:b/>
          <w:color w:val="5B6573"/>
          <w:sz w:val="26"/>
        </w:rPr>
        <w:t>Architecture • Development • Integration • Cloneability • Evolution</w:t>
      </w:r>
    </w:p>
    <w:p w14:paraId="52BA1D46" w14:textId="77777777" w:rsidR="009E3063" w:rsidRDefault="00407135">
      <w:pPr>
        <w:spacing w:before="360"/>
        <w:jc w:val="center"/>
      </w:pPr>
      <w:r>
        <w:rPr>
          <w:b/>
          <w:color w:val="17365D"/>
          <w:sz w:val="24"/>
        </w:rPr>
        <w:t>Living Source Document</w:t>
      </w:r>
    </w:p>
    <w:p w14:paraId="4901E61D" w14:textId="77777777" w:rsidR="009E3063" w:rsidRDefault="00407135">
      <w:pPr>
        <w:jc w:val="center"/>
      </w:pPr>
      <w:r>
        <w:rPr>
          <w:i/>
        </w:rPr>
        <w:t>Created September 2026</w:t>
      </w:r>
    </w:p>
    <w:p w14:paraId="68E5BEA6" w14:textId="77777777" w:rsidR="009E3063" w:rsidRDefault="009E3063"/>
    <w:tbl>
      <w:tblPr>
        <w:tblW w:w="0" w:type="auto"/>
        <w:jc w:val="center"/>
        <w:tblLook w:val="04A0" w:firstRow="1" w:lastRow="0" w:firstColumn="1" w:lastColumn="0" w:noHBand="0" w:noVBand="1"/>
      </w:tblPr>
      <w:tblGrid>
        <w:gridCol w:w="9936"/>
      </w:tblGrid>
      <w:tr w:rsidR="009E3063" w14:paraId="2439C8D0" w14:textId="77777777">
        <w:trPr>
          <w:jc w:val="center"/>
        </w:trPr>
        <w:tc>
          <w:tcPr>
            <w:tcW w:w="9936" w:type="dxa"/>
            <w:shd w:val="clear" w:color="auto" w:fill="D9EAF7"/>
            <w:tcMar>
              <w:top w:w="120" w:type="dxa"/>
              <w:left w:w="140" w:type="dxa"/>
              <w:bottom w:w="120" w:type="dxa"/>
              <w:right w:w="140" w:type="dxa"/>
            </w:tcMar>
          </w:tcPr>
          <w:p w14:paraId="50CFD785" w14:textId="77777777" w:rsidR="009E3063" w:rsidRDefault="00407135">
            <w:pPr>
              <w:spacing w:after="60"/>
            </w:pPr>
            <w:r>
              <w:rPr>
                <w:b/>
                <w:color w:val="17365D"/>
              </w:rPr>
              <w:t>Core Principle</w:t>
            </w:r>
          </w:p>
          <w:p w14:paraId="508BF4C3" w14:textId="77777777" w:rsidR="009E3063" w:rsidRDefault="00407135">
            <w:pPr>
              <w:spacing w:after="0"/>
            </w:pPr>
            <w:r>
              <w:t>A Portable Component Package carries its own working architecture with it. Clone the package first. Verify that it survived the move. Adapt the Foundation-specific instructional content only after the cloned component works.</w:t>
            </w:r>
          </w:p>
        </w:tc>
      </w:tr>
    </w:tbl>
    <w:p w14:paraId="57D9A396" w14:textId="77777777" w:rsidR="009E3063" w:rsidRDefault="00407135">
      <w:pPr>
        <w:spacing w:before="320"/>
        <w:jc w:val="center"/>
      </w:pPr>
      <w:r>
        <w:rPr>
          <w:b/>
          <w:color w:val="2E7D32"/>
          <w:sz w:val="30"/>
        </w:rPr>
        <w:t>Clone → Verify → Adapt → Verify Again</w:t>
      </w:r>
    </w:p>
    <w:p w14:paraId="53658B08" w14:textId="77777777" w:rsidR="009E3063" w:rsidRDefault="00407135">
      <w:r>
        <w:br w:type="page"/>
      </w:r>
    </w:p>
    <w:p w14:paraId="79938E11" w14:textId="77777777" w:rsidR="009E3063" w:rsidRDefault="00407135">
      <w:pPr>
        <w:pStyle w:val="Heading1"/>
      </w:pPr>
      <w:r>
        <w:lastRenderedPageBreak/>
        <w:t>Document Map</w:t>
      </w:r>
    </w:p>
    <w:p w14:paraId="2CBE0C0D" w14:textId="77777777" w:rsidR="009E3063" w:rsidRDefault="00407135">
      <w:pPr>
        <w:pStyle w:val="ListBullet"/>
        <w:spacing w:after="40"/>
      </w:pPr>
      <w:r>
        <w:t>0. Purpose and Status</w:t>
      </w:r>
    </w:p>
    <w:p w14:paraId="11E11B87" w14:textId="77777777" w:rsidR="009E3063" w:rsidRDefault="00407135">
      <w:pPr>
        <w:pStyle w:val="ListBullet"/>
        <w:spacing w:after="40"/>
      </w:pPr>
      <w:r>
        <w:t>1. Why Portable Component Packages Exist</w:t>
      </w:r>
    </w:p>
    <w:p w14:paraId="03E9C47E" w14:textId="77777777" w:rsidR="009E3063" w:rsidRDefault="00407135">
      <w:pPr>
        <w:pStyle w:val="ListBullet"/>
        <w:spacing w:after="40"/>
      </w:pPr>
      <w:r>
        <w:t>2. Definition and Qualification Criteria</w:t>
      </w:r>
    </w:p>
    <w:p w14:paraId="3A23BCF6" w14:textId="77777777" w:rsidR="009E3063" w:rsidRDefault="00407135">
      <w:pPr>
        <w:pStyle w:val="ListBullet"/>
        <w:spacing w:after="40"/>
      </w:pPr>
      <w:r>
        <w:t>3. Package Anatomy and Self-Containment</w:t>
      </w:r>
    </w:p>
    <w:p w14:paraId="08150323" w14:textId="77777777" w:rsidR="009E3063" w:rsidRDefault="00407135">
      <w:pPr>
        <w:pStyle w:val="ListBullet"/>
        <w:spacing w:after="40"/>
      </w:pPr>
      <w:r>
        <w:t>4. Two Levels of Reuse in Michael's Foundations</w:t>
      </w:r>
    </w:p>
    <w:p w14:paraId="2925FA0F" w14:textId="77777777" w:rsidR="009E3063" w:rsidRDefault="00407135">
      <w:pPr>
        <w:pStyle w:val="ListBullet"/>
        <w:spacing w:after="40"/>
      </w:pPr>
      <w:r>
        <w:t>5. Standard Development Lifecycle</w:t>
      </w:r>
    </w:p>
    <w:p w14:paraId="30F6C899" w14:textId="77777777" w:rsidR="009E3063" w:rsidRDefault="00407135">
      <w:pPr>
        <w:pStyle w:val="ListBullet"/>
        <w:spacing w:after="40"/>
      </w:pPr>
      <w:r>
        <w:t>6. Standard Installation and Adaptation Model</w:t>
      </w:r>
    </w:p>
    <w:p w14:paraId="067A6370" w14:textId="77777777" w:rsidR="009E3063" w:rsidRDefault="00407135">
      <w:pPr>
        <w:pStyle w:val="ListBullet"/>
        <w:spacing w:after="40"/>
      </w:pPr>
      <w:r>
        <w:t>7. Cloneability: What Counts as Proof</w:t>
      </w:r>
    </w:p>
    <w:p w14:paraId="2045689A" w14:textId="77777777" w:rsidR="009E3063" w:rsidRDefault="00407135">
      <w:pPr>
        <w:pStyle w:val="ListBullet"/>
        <w:spacing w:after="40"/>
      </w:pPr>
      <w:r>
        <w:t>8. Required Documentation for Every Package</w:t>
      </w:r>
    </w:p>
    <w:p w14:paraId="21CA962B" w14:textId="77777777" w:rsidR="009E3063" w:rsidRDefault="00407135">
      <w:pPr>
        <w:pStyle w:val="ListBullet"/>
        <w:spacing w:after="40"/>
      </w:pPr>
      <w:r>
        <w:t>9. Integration and Testing Standard</w:t>
      </w:r>
    </w:p>
    <w:p w14:paraId="73EFA844" w14:textId="77777777" w:rsidR="009E3063" w:rsidRDefault="00407135">
      <w:pPr>
        <w:pStyle w:val="ListBullet"/>
        <w:spacing w:after="40"/>
      </w:pPr>
      <w:r>
        <w:t>10. Component Registry</w:t>
      </w:r>
    </w:p>
    <w:p w14:paraId="4C171ED4" w14:textId="77777777" w:rsidR="009E3063" w:rsidRDefault="00407135">
      <w:pPr>
        <w:pStyle w:val="ListBullet"/>
        <w:spacing w:after="40"/>
      </w:pPr>
      <w:r>
        <w:t>11. Portable Component Package #1 — Listening Room</w:t>
      </w:r>
    </w:p>
    <w:p w14:paraId="2E069B09" w14:textId="77777777" w:rsidR="009E3063" w:rsidRDefault="00407135">
      <w:pPr>
        <w:pStyle w:val="ListBullet"/>
        <w:spacing w:after="40"/>
      </w:pPr>
      <w:r>
        <w:t>12. Future Candidate Packages</w:t>
      </w:r>
    </w:p>
    <w:p w14:paraId="4E7670F3" w14:textId="77777777" w:rsidR="009E3063" w:rsidRDefault="00407135">
      <w:pPr>
        <w:pStyle w:val="ListBullet"/>
        <w:spacing w:after="40"/>
      </w:pPr>
      <w:r>
        <w:t>13. Evolution and Versioning Principles</w:t>
      </w:r>
    </w:p>
    <w:p w14:paraId="30D7FB76" w14:textId="77777777" w:rsidR="009E3063" w:rsidRDefault="00407135">
      <w:pPr>
        <w:pStyle w:val="ListBullet"/>
        <w:spacing w:after="40"/>
      </w:pPr>
      <w:r>
        <w:t>14. Interview / Development-History Moments</w:t>
      </w:r>
    </w:p>
    <w:p w14:paraId="68D6A7E5" w14:textId="77777777" w:rsidR="009E3063" w:rsidRDefault="00407135">
      <w:pPr>
        <w:pStyle w:val="ListBullet"/>
        <w:spacing w:after="40"/>
      </w:pPr>
      <w:r>
        <w:t>15. Open Questions</w:t>
      </w:r>
    </w:p>
    <w:p w14:paraId="0DF3E7B8" w14:textId="77777777" w:rsidR="009E3063" w:rsidRDefault="00407135">
      <w:pPr>
        <w:pStyle w:val="Heading1"/>
      </w:pPr>
      <w:r>
        <w:t>0. Purpose and Status</w:t>
      </w:r>
    </w:p>
    <w:p w14:paraId="610D240E" w14:textId="77777777" w:rsidR="009E3063" w:rsidRDefault="00407135">
      <w:r>
        <w:t>This document is the project-wide source of truth for Portable Component Packages in Michael's Foundations. It records the architecture shared by reusable learning-experience components, the standard by which a component qualifies as portable, and the repeatable process by which a proven component will eventually be installed into multiple Foundation Projects.</w:t>
      </w:r>
    </w:p>
    <w:p w14:paraId="502D1F5A" w14:textId="77777777" w:rsidR="009E3063" w:rsidRDefault="00407135">
      <w:r>
        <w:t>The architecture emerged from the development of the Days of the Week Listening Room. The Listening Room was developed as a self-contained experiment rather than being embedded directly into Days. Its successful independent operation demonstrated that a substantial learner experience could own its HTML, CSS, JavaScript, assets, state, visual identity, and interaction behavior. That discovery led to the broader Portable Component Package concept.</w:t>
      </w:r>
    </w:p>
    <w:tbl>
      <w:tblPr>
        <w:tblW w:w="0" w:type="auto"/>
        <w:jc w:val="center"/>
        <w:tblLook w:val="04A0" w:firstRow="1" w:lastRow="0" w:firstColumn="1" w:lastColumn="0" w:noHBand="0" w:noVBand="1"/>
      </w:tblPr>
      <w:tblGrid>
        <w:gridCol w:w="9936"/>
      </w:tblGrid>
      <w:tr w:rsidR="009E3063" w14:paraId="18FCA869" w14:textId="77777777">
        <w:trPr>
          <w:jc w:val="center"/>
        </w:trPr>
        <w:tc>
          <w:tcPr>
            <w:tcW w:w="9936" w:type="dxa"/>
            <w:shd w:val="clear" w:color="auto" w:fill="EEF5FA"/>
            <w:tcMar>
              <w:top w:w="120" w:type="dxa"/>
              <w:left w:w="140" w:type="dxa"/>
              <w:bottom w:w="120" w:type="dxa"/>
              <w:right w:w="140" w:type="dxa"/>
            </w:tcMar>
          </w:tcPr>
          <w:p w14:paraId="6E18999B" w14:textId="77777777" w:rsidR="009E3063" w:rsidRDefault="00407135">
            <w:pPr>
              <w:spacing w:after="60"/>
            </w:pPr>
            <w:r>
              <w:rPr>
                <w:b/>
                <w:color w:val="17365D"/>
              </w:rPr>
              <w:t>Current status</w:t>
            </w:r>
          </w:p>
          <w:p w14:paraId="40C9CE50" w14:textId="77777777" w:rsidR="009E3063" w:rsidRDefault="00407135">
            <w:pPr>
              <w:spacing w:after="0"/>
            </w:pPr>
            <w:r>
              <w:t>Architecture established. Listening Room package inventory verified. Exact installation procedure intentionally PENDING until the first real integration into a completed Foundation Project is performed and tested.</w:t>
            </w:r>
          </w:p>
        </w:tc>
      </w:tr>
    </w:tbl>
    <w:p w14:paraId="2FD5735A" w14:textId="77777777" w:rsidR="009E3063" w:rsidRDefault="00407135">
      <w:pPr>
        <w:pStyle w:val="Heading1"/>
      </w:pPr>
      <w:r>
        <w:t>1. Why Portable Component Packages Exist</w:t>
      </w:r>
    </w:p>
    <w:p w14:paraId="2AB707CF" w14:textId="77777777" w:rsidR="009E3063" w:rsidRDefault="00407135">
      <w:r>
        <w:t>Michael's Foundations increasingly contains signature learning experiences whose purpose and behavior are larger than a single activity but should not be rebuilt from scratch inside every Foundation. The goal is not to make every Foundation identical. The goal is to preserve a proven experience architecture while allowing each Foundation to supply the language, situations, prompts, and instructional purpose appropriate to its own content.</w:t>
      </w:r>
    </w:p>
    <w:tbl>
      <w:tblPr>
        <w:tblW w:w="0" w:type="auto"/>
        <w:jc w:val="center"/>
        <w:tblLook w:val="04A0" w:firstRow="1" w:lastRow="0" w:firstColumn="1" w:lastColumn="0" w:noHBand="0" w:noVBand="1"/>
      </w:tblPr>
      <w:tblGrid>
        <w:gridCol w:w="9936"/>
      </w:tblGrid>
      <w:tr w:rsidR="009E3063" w14:paraId="424BFC79" w14:textId="77777777">
        <w:trPr>
          <w:jc w:val="center"/>
        </w:trPr>
        <w:tc>
          <w:tcPr>
            <w:tcW w:w="9936" w:type="dxa"/>
            <w:shd w:val="clear" w:color="auto" w:fill="EEF5FA"/>
            <w:tcMar>
              <w:top w:w="120" w:type="dxa"/>
              <w:left w:w="140" w:type="dxa"/>
              <w:bottom w:w="120" w:type="dxa"/>
              <w:right w:w="140" w:type="dxa"/>
            </w:tcMar>
          </w:tcPr>
          <w:p w14:paraId="4AB347F2" w14:textId="77777777" w:rsidR="009E3063" w:rsidRDefault="00407135">
            <w:pPr>
              <w:spacing w:after="60"/>
            </w:pPr>
            <w:r>
              <w:rPr>
                <w:b/>
                <w:color w:val="17365D"/>
              </w:rPr>
              <w:t>Design principle</w:t>
            </w:r>
          </w:p>
          <w:p w14:paraId="5ADBEE26" w14:textId="77777777" w:rsidR="009E3063" w:rsidRDefault="00407135">
            <w:pPr>
              <w:spacing w:after="0"/>
            </w:pPr>
            <w:r>
              <w:t>Reuse the architecture. Recreate the learning experience.</w:t>
            </w:r>
          </w:p>
        </w:tc>
      </w:tr>
    </w:tbl>
    <w:p w14:paraId="78219189" w14:textId="77777777" w:rsidR="009E3063" w:rsidRDefault="00407135">
      <w:r>
        <w:lastRenderedPageBreak/>
        <w:t>A successful package reduces repeated engineering work, protects proven accessibility and state behavior, makes future debugging more understandable, and allows improvements to be propagated deliberately rather than recreated from memory.</w:t>
      </w:r>
    </w:p>
    <w:p w14:paraId="3AD91DF8" w14:textId="77777777" w:rsidR="009E3063" w:rsidRDefault="00407135">
      <w:pPr>
        <w:pStyle w:val="Heading1"/>
      </w:pPr>
      <w:r>
        <w:t>2. Definition and Qualification Criteria</w:t>
      </w:r>
    </w:p>
    <w:p w14:paraId="365F8DD5" w14:textId="77777777" w:rsidR="009E3063" w:rsidRDefault="00407135">
      <w:r>
        <w:t>A Portable Component Package is a self-contained, reusable learning-experience subsystem that can be moved into a Foundation Project using a documented procedure, verified in its cloned state, and then adapted to Foundation-specific instructional content without reconstructing its core architecture.</w:t>
      </w:r>
    </w:p>
    <w:p w14:paraId="0AD0FCF3" w14:textId="77777777" w:rsidR="009E3063" w:rsidRDefault="00407135">
      <w:pPr>
        <w:pStyle w:val="Heading2"/>
      </w:pPr>
      <w:r>
        <w:t>2.1 A feature is a strong candidate when it has:</w:t>
      </w:r>
    </w:p>
    <w:p w14:paraId="0E849E38" w14:textId="77777777" w:rsidR="009E3063" w:rsidRDefault="00407135">
      <w:pPr>
        <w:pStyle w:val="ListBullet"/>
        <w:spacing w:after="40"/>
      </w:pPr>
      <w:r>
        <w:t>A distinct instructional job.</w:t>
      </w:r>
    </w:p>
    <w:p w14:paraId="10B676B4" w14:textId="77777777" w:rsidR="009E3063" w:rsidRDefault="00407135">
      <w:pPr>
        <w:pStyle w:val="ListBullet"/>
        <w:spacing w:after="40"/>
      </w:pPr>
      <w:r>
        <w:t>A recognizable learner-facing identity.</w:t>
      </w:r>
    </w:p>
    <w:p w14:paraId="42F49F3F" w14:textId="77777777" w:rsidR="009E3063" w:rsidRDefault="00407135">
      <w:pPr>
        <w:pStyle w:val="ListBullet"/>
        <w:spacing w:after="40"/>
      </w:pPr>
      <w:r>
        <w:t>Its own meaningful interaction behavior and/or state.</w:t>
      </w:r>
    </w:p>
    <w:p w14:paraId="3D8E1525" w14:textId="77777777" w:rsidR="009E3063" w:rsidRDefault="00407135">
      <w:pPr>
        <w:pStyle w:val="ListBullet"/>
        <w:spacing w:after="40"/>
      </w:pPr>
      <w:r>
        <w:t>A clear boundary between reusable architecture and Foundation-specific content.</w:t>
      </w:r>
    </w:p>
    <w:p w14:paraId="0ECDFD71" w14:textId="77777777" w:rsidR="009E3063" w:rsidRDefault="00407135">
      <w:pPr>
        <w:pStyle w:val="ListBullet"/>
        <w:spacing w:after="40"/>
      </w:pPr>
      <w:r>
        <w:t>Value across more than one Foundation Project.</w:t>
      </w:r>
    </w:p>
    <w:p w14:paraId="0F809918" w14:textId="77777777" w:rsidR="009E3063" w:rsidRDefault="00407135">
      <w:pPr>
        <w:pStyle w:val="ListBullet"/>
        <w:spacing w:after="40"/>
      </w:pPr>
      <w:r>
        <w:t>Enough internal complexity that rebuilding it repeatedly would create unnecessary risk or inconsistency.</w:t>
      </w:r>
    </w:p>
    <w:p w14:paraId="537DD44E" w14:textId="77777777" w:rsidR="009E3063" w:rsidRDefault="00407135">
      <w:r>
        <w:t>Not every repeated UI feature should become a Portable Component Package. Foundation-level systems such as Journey Rail behavior, phase tabs, and lesson completion markers may belong to the shared Foundation architecture instead.</w:t>
      </w:r>
    </w:p>
    <w:p w14:paraId="1D46A315" w14:textId="77777777" w:rsidR="009E3063" w:rsidRDefault="00407135">
      <w:pPr>
        <w:pStyle w:val="Heading1"/>
      </w:pPr>
      <w:r>
        <w:t>3. Package Anatomy and Self-Containment</w:t>
      </w:r>
    </w:p>
    <w:p w14:paraId="39EB21F0" w14:textId="77777777" w:rsidR="009E3063" w:rsidRDefault="00407135">
      <w:r>
        <w:t>A truly self-contained package must carry the files and local assets required for its own operation. For the current Listening Room experiment, that means three primary source files plus its environmental SVG asset.</w:t>
      </w:r>
    </w:p>
    <w:tbl>
      <w:tblPr>
        <w:tblW w:w="0" w:type="auto"/>
        <w:tblLook w:val="04A0" w:firstRow="1" w:lastRow="0" w:firstColumn="1" w:lastColumn="0" w:noHBand="0" w:noVBand="1"/>
      </w:tblPr>
      <w:tblGrid>
        <w:gridCol w:w="9936"/>
      </w:tblGrid>
      <w:tr w:rsidR="009E3063" w14:paraId="6AE3930C" w14:textId="77777777">
        <w:tc>
          <w:tcPr>
            <w:tcW w:w="9936" w:type="dxa"/>
            <w:shd w:val="clear" w:color="auto" w:fill="F3F4F6"/>
            <w:tcMar>
              <w:top w:w="100" w:type="dxa"/>
              <w:left w:w="120" w:type="dxa"/>
              <w:bottom w:w="100" w:type="dxa"/>
              <w:right w:w="120" w:type="dxa"/>
            </w:tcMar>
          </w:tcPr>
          <w:p w14:paraId="0C81CEB4" w14:textId="77777777" w:rsidR="009E3063" w:rsidRDefault="00407135">
            <w:pPr>
              <w:spacing w:after="0"/>
            </w:pPr>
            <w:r>
              <w:rPr>
                <w:rFonts w:ascii="Consolas" w:hAnsi="Consolas"/>
                <w:sz w:val="18"/>
              </w:rPr>
              <w:t>Listening Room/</w:t>
            </w:r>
            <w:r>
              <w:rPr>
                <w:rFonts w:ascii="Consolas" w:hAnsi="Consolas"/>
                <w:sz w:val="18"/>
              </w:rPr>
              <w:br/>
              <w:t>├── listening-room.html</w:t>
            </w:r>
            <w:r>
              <w:rPr>
                <w:rFonts w:ascii="Consolas" w:hAnsi="Consolas"/>
                <w:sz w:val="18"/>
              </w:rPr>
              <w:br/>
              <w:t>├── listening-room.css</w:t>
            </w:r>
            <w:r>
              <w:rPr>
                <w:rFonts w:ascii="Consolas" w:hAnsi="Consolas"/>
                <w:sz w:val="18"/>
              </w:rPr>
              <w:br/>
              <w:t>├── listening-room.js</w:t>
            </w:r>
            <w:r>
              <w:rPr>
                <w:rFonts w:ascii="Consolas" w:hAnsi="Consolas"/>
                <w:sz w:val="18"/>
              </w:rPr>
              <w:br/>
              <w:t>└── listening-room.svg</w:t>
            </w:r>
          </w:p>
        </w:tc>
      </w:tr>
    </w:tbl>
    <w:p w14:paraId="378D3463" w14:textId="77777777" w:rsidR="009E3063" w:rsidRDefault="00407135">
      <w:pPr>
        <w:pStyle w:val="Heading2"/>
      </w:pPr>
      <w:r>
        <w:t>3.1 Required package inventory</w:t>
      </w:r>
    </w:p>
    <w:p w14:paraId="3F1F8BB6" w14:textId="77777777" w:rsidR="009E3063" w:rsidRDefault="00407135">
      <w:pPr>
        <w:pStyle w:val="ListBullet"/>
        <w:spacing w:after="40"/>
      </w:pPr>
      <w:r>
        <w:t>HTML structure owned by the component.</w:t>
      </w:r>
    </w:p>
    <w:p w14:paraId="383FA57A" w14:textId="77777777" w:rsidR="009E3063" w:rsidRDefault="00407135">
      <w:pPr>
        <w:pStyle w:val="ListBullet"/>
        <w:spacing w:after="40"/>
      </w:pPr>
      <w:r>
        <w:t>CSS owned by the component.</w:t>
      </w:r>
    </w:p>
    <w:p w14:paraId="7CBC036C" w14:textId="77777777" w:rsidR="009E3063" w:rsidRDefault="00407135">
      <w:pPr>
        <w:pStyle w:val="ListBullet"/>
        <w:spacing w:after="40"/>
      </w:pPr>
      <w:r>
        <w:t>JavaScript/state behavior owned by the component.</w:t>
      </w:r>
    </w:p>
    <w:p w14:paraId="53DC38B9" w14:textId="77777777" w:rsidR="009E3063" w:rsidRDefault="00407135">
      <w:pPr>
        <w:pStyle w:val="ListBullet"/>
        <w:spacing w:after="40"/>
      </w:pPr>
      <w:r>
        <w:t>Every local image, audio file, icon, or media asset required by the component.</w:t>
      </w:r>
    </w:p>
    <w:p w14:paraId="42790007" w14:textId="77777777" w:rsidR="009E3063" w:rsidRDefault="00407135">
      <w:pPr>
        <w:pStyle w:val="ListBullet"/>
        <w:spacing w:after="40"/>
      </w:pPr>
      <w:r>
        <w:t>A documented list of browser, platform, library, or external dependencies.</w:t>
      </w:r>
    </w:p>
    <w:p w14:paraId="3702D8D2" w14:textId="77777777" w:rsidR="009E3063" w:rsidRDefault="00407135">
      <w:pPr>
        <w:pStyle w:val="ListBullet"/>
        <w:spacing w:after="40"/>
      </w:pPr>
      <w:r>
        <w:t>A component-specific implementation record describing what may change and what should remain stable.</w:t>
      </w:r>
    </w:p>
    <w:p w14:paraId="0344C6AF" w14:textId="77777777" w:rsidR="009E3063" w:rsidRDefault="00407135">
      <w:pPr>
        <w:pStyle w:val="Heading2"/>
      </w:pPr>
      <w:r>
        <w:t>3.2 Self-containment rule</w:t>
      </w:r>
    </w:p>
    <w:tbl>
      <w:tblPr>
        <w:tblW w:w="0" w:type="auto"/>
        <w:jc w:val="center"/>
        <w:tblLook w:val="04A0" w:firstRow="1" w:lastRow="0" w:firstColumn="1" w:lastColumn="0" w:noHBand="0" w:noVBand="1"/>
      </w:tblPr>
      <w:tblGrid>
        <w:gridCol w:w="9936"/>
      </w:tblGrid>
      <w:tr w:rsidR="009E3063" w14:paraId="31EBA3EA" w14:textId="77777777">
        <w:trPr>
          <w:jc w:val="center"/>
        </w:trPr>
        <w:tc>
          <w:tcPr>
            <w:tcW w:w="9936" w:type="dxa"/>
            <w:shd w:val="clear" w:color="auto" w:fill="D9EAF7"/>
            <w:tcMar>
              <w:top w:w="120" w:type="dxa"/>
              <w:left w:w="140" w:type="dxa"/>
              <w:bottom w:w="120" w:type="dxa"/>
              <w:right w:w="140" w:type="dxa"/>
            </w:tcMar>
          </w:tcPr>
          <w:p w14:paraId="0086EB9D" w14:textId="77777777" w:rsidR="009E3063" w:rsidRDefault="00407135">
            <w:pPr>
              <w:spacing w:after="60"/>
            </w:pPr>
            <w:r>
              <w:rPr>
                <w:b/>
                <w:color w:val="17365D"/>
              </w:rPr>
              <w:t>Clone the component folder, not scattered individual files.</w:t>
            </w:r>
          </w:p>
          <w:p w14:paraId="530996D1" w14:textId="77777777" w:rsidR="009E3063" w:rsidRDefault="00407135">
            <w:pPr>
              <w:spacing w:after="0"/>
            </w:pPr>
            <w:r>
              <w:t>Wherever practical, internal relative paths should remain valid when the complete package folder moves. The receiving Foundation should integrate with the component rather than absorb the component's internal code into the Foundation's main files.</w:t>
            </w:r>
          </w:p>
        </w:tc>
      </w:tr>
    </w:tbl>
    <w:p w14:paraId="37FC267E" w14:textId="77777777" w:rsidR="009E3063" w:rsidRDefault="00407135">
      <w:pPr>
        <w:pStyle w:val="Heading1"/>
      </w:pPr>
      <w:r>
        <w:lastRenderedPageBreak/>
        <w:t>4. Two Levels of Reuse in Michael's Foundations</w:t>
      </w:r>
    </w:p>
    <w:p w14:paraId="5F5D8B7C" w14:textId="77777777" w:rsidR="009E3063" w:rsidRDefault="00407135">
      <w:pPr>
        <w:pStyle w:val="Heading2"/>
      </w:pPr>
      <w:r>
        <w:t>4.1 Foundation-level cloning</w:t>
      </w:r>
    </w:p>
    <w:p w14:paraId="22BCFA7A" w14:textId="77777777" w:rsidR="009E3063" w:rsidRDefault="00407135">
      <w:r>
        <w:t>Greetings &amp; Introductions → Family Relationships is the current evidence for Foundation-level cloning. Family Relationships inherited established G&amp;I architecture while its instructional content was changed for a new topic. Journey Rail behavior, phase tabs, learner-location behavior, and lesson completion/checkmark systems have continued to function without major snags.</w:t>
      </w:r>
    </w:p>
    <w:p w14:paraId="46E1D969" w14:textId="77777777" w:rsidR="009E3063" w:rsidRDefault="00407135">
      <w:pPr>
        <w:pStyle w:val="Heading2"/>
      </w:pPr>
      <w:r>
        <w:t>4.2 Component-level portability</w:t>
      </w:r>
    </w:p>
    <w:p w14:paraId="615E68BC" w14:textId="77777777" w:rsidR="009E3063" w:rsidRDefault="00407135">
      <w:r>
        <w:t>Portable Component Packages operate inside those Foundations. The Listening Room is the first deliberate experiment. Future packages may include The Four Doors and Mini-World. A possible future Family Relationships feature may also be evaluated when its design is mature enough.</w:t>
      </w:r>
    </w:p>
    <w:tbl>
      <w:tblPr>
        <w:tblW w:w="0" w:type="auto"/>
        <w:tblLook w:val="04A0" w:firstRow="1" w:lastRow="0" w:firstColumn="1" w:lastColumn="0" w:noHBand="0" w:noVBand="1"/>
      </w:tblPr>
      <w:tblGrid>
        <w:gridCol w:w="9936"/>
      </w:tblGrid>
      <w:tr w:rsidR="009E3063" w14:paraId="4FB63003" w14:textId="77777777">
        <w:tc>
          <w:tcPr>
            <w:tcW w:w="9936" w:type="dxa"/>
            <w:shd w:val="clear" w:color="auto" w:fill="F3F4F6"/>
            <w:tcMar>
              <w:top w:w="100" w:type="dxa"/>
              <w:left w:w="120" w:type="dxa"/>
              <w:bottom w:w="100" w:type="dxa"/>
              <w:right w:w="120" w:type="dxa"/>
            </w:tcMar>
          </w:tcPr>
          <w:p w14:paraId="7DE4DB18" w14:textId="77777777" w:rsidR="009E3063" w:rsidRDefault="00407135">
            <w:pPr>
              <w:spacing w:after="0"/>
            </w:pPr>
            <w:r>
              <w:rPr>
                <w:rFonts w:ascii="Consolas" w:hAnsi="Consolas"/>
                <w:sz w:val="18"/>
              </w:rPr>
              <w:t>Michael's Foundations</w:t>
            </w:r>
            <w:r>
              <w:rPr>
                <w:rFonts w:ascii="Consolas" w:hAnsi="Consolas"/>
                <w:sz w:val="18"/>
              </w:rPr>
              <w:br/>
              <w:t>│</w:t>
            </w:r>
            <w:r>
              <w:rPr>
                <w:rFonts w:ascii="Consolas" w:hAnsi="Consolas"/>
                <w:sz w:val="18"/>
              </w:rPr>
              <w:br/>
              <w:t>├── Shared Foundation Architecture</w:t>
            </w:r>
            <w:r>
              <w:rPr>
                <w:rFonts w:ascii="Consolas" w:hAnsi="Consolas"/>
                <w:sz w:val="18"/>
              </w:rPr>
              <w:br/>
              <w:t>│   ├── Greetings &amp; Introductions</w:t>
            </w:r>
            <w:r>
              <w:rPr>
                <w:rFonts w:ascii="Consolas" w:hAnsi="Consolas"/>
                <w:sz w:val="18"/>
              </w:rPr>
              <w:br/>
              <w:t>│   ├── Family Relationships</w:t>
            </w:r>
            <w:r>
              <w:rPr>
                <w:rFonts w:ascii="Consolas" w:hAnsi="Consolas"/>
                <w:sz w:val="18"/>
              </w:rPr>
              <w:br/>
              <w:t>│   ├── Days of the Week</w:t>
            </w:r>
            <w:r>
              <w:rPr>
                <w:rFonts w:ascii="Consolas" w:hAnsi="Consolas"/>
                <w:sz w:val="18"/>
              </w:rPr>
              <w:br/>
              <w:t>│   └── future Foundations</w:t>
            </w:r>
            <w:r>
              <w:rPr>
                <w:rFonts w:ascii="Consolas" w:hAnsi="Consolas"/>
                <w:sz w:val="18"/>
              </w:rPr>
              <w:br/>
              <w:t>│</w:t>
            </w:r>
            <w:r>
              <w:rPr>
                <w:rFonts w:ascii="Consolas" w:hAnsi="Consolas"/>
                <w:sz w:val="18"/>
              </w:rPr>
              <w:br/>
              <w:t>└── Portable Experience Components</w:t>
            </w:r>
            <w:r>
              <w:rPr>
                <w:rFonts w:ascii="Consolas" w:hAnsi="Consolas"/>
                <w:sz w:val="18"/>
              </w:rPr>
              <w:br/>
              <w:t xml:space="preserve">    ├── Listening Room</w:t>
            </w:r>
            <w:r>
              <w:rPr>
                <w:rFonts w:ascii="Consolas" w:hAnsi="Consolas"/>
                <w:sz w:val="18"/>
              </w:rPr>
              <w:br/>
              <w:t xml:space="preserve">    ├── The Four Doors</w:t>
            </w:r>
            <w:r>
              <w:rPr>
                <w:rFonts w:ascii="Consolas" w:hAnsi="Consolas"/>
                <w:sz w:val="18"/>
              </w:rPr>
              <w:br/>
              <w:t xml:space="preserve">    ├── Mini-World</w:t>
            </w:r>
            <w:r>
              <w:rPr>
                <w:rFonts w:ascii="Consolas" w:hAnsi="Consolas"/>
                <w:sz w:val="18"/>
              </w:rPr>
              <w:br/>
              <w:t xml:space="preserve">    └── future proven candidates</w:t>
            </w:r>
          </w:p>
        </w:tc>
      </w:tr>
    </w:tbl>
    <w:p w14:paraId="1B5CCC84" w14:textId="77777777" w:rsidR="009E3063" w:rsidRDefault="00407135">
      <w:pPr>
        <w:pStyle w:val="Heading1"/>
      </w:pPr>
      <w:r>
        <w:t>5. Standard Development Lifecycle</w:t>
      </w:r>
    </w:p>
    <w:tbl>
      <w:tblPr>
        <w:tblStyle w:val="TableGrid"/>
        <w:tblW w:w="0" w:type="auto"/>
        <w:jc w:val="center"/>
        <w:tblLook w:val="04A0" w:firstRow="1" w:lastRow="0" w:firstColumn="1" w:lastColumn="0" w:noHBand="0" w:noVBand="1"/>
      </w:tblPr>
      <w:tblGrid>
        <w:gridCol w:w="4961"/>
        <w:gridCol w:w="4965"/>
      </w:tblGrid>
      <w:tr w:rsidR="009E3063" w14:paraId="60C2066C" w14:textId="77777777">
        <w:trPr>
          <w:jc w:val="center"/>
        </w:trPr>
        <w:tc>
          <w:tcPr>
            <w:tcW w:w="4968" w:type="dxa"/>
            <w:shd w:val="clear" w:color="auto" w:fill="17365D"/>
          </w:tcPr>
          <w:p w14:paraId="521EAD3B" w14:textId="77777777" w:rsidR="009E3063" w:rsidRDefault="00407135">
            <w:r>
              <w:rPr>
                <w:b/>
                <w:color w:val="FFFFFF"/>
              </w:rPr>
              <w:t>Stage</w:t>
            </w:r>
          </w:p>
        </w:tc>
        <w:tc>
          <w:tcPr>
            <w:tcW w:w="4968" w:type="dxa"/>
            <w:shd w:val="clear" w:color="auto" w:fill="17365D"/>
          </w:tcPr>
          <w:p w14:paraId="7DE8A2FF" w14:textId="77777777" w:rsidR="009E3063" w:rsidRDefault="00407135">
            <w:r>
              <w:rPr>
                <w:b/>
                <w:color w:val="FFFFFF"/>
              </w:rPr>
              <w:t>Purpose</w:t>
            </w:r>
          </w:p>
        </w:tc>
      </w:tr>
      <w:tr w:rsidR="009E3063" w14:paraId="01E4FB9E" w14:textId="77777777">
        <w:trPr>
          <w:jc w:val="center"/>
        </w:trPr>
        <w:tc>
          <w:tcPr>
            <w:tcW w:w="4968" w:type="dxa"/>
            <w:tcMar>
              <w:top w:w="80" w:type="dxa"/>
              <w:left w:w="100" w:type="dxa"/>
              <w:bottom w:w="80" w:type="dxa"/>
              <w:right w:w="100" w:type="dxa"/>
            </w:tcMar>
            <w:vAlign w:val="center"/>
          </w:tcPr>
          <w:p w14:paraId="0E7D4BC2" w14:textId="77777777" w:rsidR="009E3063" w:rsidRDefault="00407135">
            <w:r>
              <w:t>1. Experience Architecture</w:t>
            </w:r>
          </w:p>
        </w:tc>
        <w:tc>
          <w:tcPr>
            <w:tcW w:w="4968" w:type="dxa"/>
            <w:tcMar>
              <w:top w:w="80" w:type="dxa"/>
              <w:left w:w="100" w:type="dxa"/>
              <w:bottom w:w="80" w:type="dxa"/>
              <w:right w:w="100" w:type="dxa"/>
            </w:tcMar>
            <w:vAlign w:val="center"/>
          </w:tcPr>
          <w:p w14:paraId="77D001E1" w14:textId="77777777" w:rsidR="009E3063" w:rsidRDefault="00407135">
            <w:r>
              <w:t>Define what the learner should experience and why the component exists.</w:t>
            </w:r>
          </w:p>
        </w:tc>
      </w:tr>
      <w:tr w:rsidR="009E3063" w14:paraId="7A2A88AA" w14:textId="77777777">
        <w:trPr>
          <w:jc w:val="center"/>
        </w:trPr>
        <w:tc>
          <w:tcPr>
            <w:tcW w:w="4968" w:type="dxa"/>
            <w:tcMar>
              <w:top w:w="80" w:type="dxa"/>
              <w:left w:w="100" w:type="dxa"/>
              <w:bottom w:w="80" w:type="dxa"/>
              <w:right w:w="100" w:type="dxa"/>
            </w:tcMar>
            <w:vAlign w:val="center"/>
          </w:tcPr>
          <w:p w14:paraId="48959F02" w14:textId="77777777" w:rsidR="009E3063" w:rsidRDefault="00407135">
            <w:r>
              <w:t>2. Visual Architecture</w:t>
            </w:r>
          </w:p>
        </w:tc>
        <w:tc>
          <w:tcPr>
            <w:tcW w:w="4968" w:type="dxa"/>
            <w:tcMar>
              <w:top w:w="80" w:type="dxa"/>
              <w:left w:w="100" w:type="dxa"/>
              <w:bottom w:w="80" w:type="dxa"/>
              <w:right w:w="100" w:type="dxa"/>
            </w:tcMar>
            <w:vAlign w:val="center"/>
          </w:tcPr>
          <w:p w14:paraId="2F01FBED" w14:textId="77777777" w:rsidR="009E3063" w:rsidRDefault="00407135">
            <w:r>
              <w:t>Establish the reusable visual identity, hierarchy, layout, and environmental cues.</w:t>
            </w:r>
          </w:p>
        </w:tc>
      </w:tr>
      <w:tr w:rsidR="009E3063" w14:paraId="24F2809A" w14:textId="77777777">
        <w:trPr>
          <w:jc w:val="center"/>
        </w:trPr>
        <w:tc>
          <w:tcPr>
            <w:tcW w:w="4968" w:type="dxa"/>
            <w:tcMar>
              <w:top w:w="80" w:type="dxa"/>
              <w:left w:w="100" w:type="dxa"/>
              <w:bottom w:w="80" w:type="dxa"/>
              <w:right w:w="100" w:type="dxa"/>
            </w:tcMar>
            <w:vAlign w:val="center"/>
          </w:tcPr>
          <w:p w14:paraId="4CC9CC3B" w14:textId="77777777" w:rsidR="009E3063" w:rsidRDefault="00407135">
            <w:r>
              <w:t>3. Interaction Architecture</w:t>
            </w:r>
          </w:p>
        </w:tc>
        <w:tc>
          <w:tcPr>
            <w:tcW w:w="4968" w:type="dxa"/>
            <w:tcMar>
              <w:top w:w="80" w:type="dxa"/>
              <w:left w:w="100" w:type="dxa"/>
              <w:bottom w:w="80" w:type="dxa"/>
              <w:right w:w="100" w:type="dxa"/>
            </w:tcMar>
            <w:vAlign w:val="center"/>
          </w:tcPr>
          <w:p w14:paraId="74ACD19E" w14:textId="77777777" w:rsidR="009E3063" w:rsidRDefault="00407135">
            <w:r>
              <w:t>Define what the learner does, what changes, what persists, and how support/feedback works.</w:t>
            </w:r>
          </w:p>
        </w:tc>
      </w:tr>
      <w:tr w:rsidR="009E3063" w14:paraId="442FDA40" w14:textId="77777777">
        <w:trPr>
          <w:jc w:val="center"/>
        </w:trPr>
        <w:tc>
          <w:tcPr>
            <w:tcW w:w="4968" w:type="dxa"/>
            <w:tcMar>
              <w:top w:w="80" w:type="dxa"/>
              <w:left w:w="100" w:type="dxa"/>
              <w:bottom w:w="80" w:type="dxa"/>
              <w:right w:w="100" w:type="dxa"/>
            </w:tcMar>
            <w:vAlign w:val="center"/>
          </w:tcPr>
          <w:p w14:paraId="063C647F" w14:textId="77777777" w:rsidR="009E3063" w:rsidRDefault="00407135">
            <w:r>
              <w:t>4. Reference Implementation</w:t>
            </w:r>
          </w:p>
        </w:tc>
        <w:tc>
          <w:tcPr>
            <w:tcW w:w="4968" w:type="dxa"/>
            <w:tcMar>
              <w:top w:w="80" w:type="dxa"/>
              <w:left w:w="100" w:type="dxa"/>
              <w:bottom w:w="80" w:type="dxa"/>
              <w:right w:w="100" w:type="dxa"/>
            </w:tcMar>
            <w:vAlign w:val="center"/>
          </w:tcPr>
          <w:p w14:paraId="55E819BA" w14:textId="77777777" w:rsidR="009E3063" w:rsidRDefault="00407135">
            <w:r>
              <w:t>Build the first real implementation in a controlled environment.</w:t>
            </w:r>
          </w:p>
        </w:tc>
      </w:tr>
      <w:tr w:rsidR="009E3063" w14:paraId="1A02CBC4" w14:textId="77777777">
        <w:trPr>
          <w:jc w:val="center"/>
        </w:trPr>
        <w:tc>
          <w:tcPr>
            <w:tcW w:w="4968" w:type="dxa"/>
            <w:tcMar>
              <w:top w:w="80" w:type="dxa"/>
              <w:left w:w="100" w:type="dxa"/>
              <w:bottom w:w="80" w:type="dxa"/>
              <w:right w:w="100" w:type="dxa"/>
            </w:tcMar>
            <w:vAlign w:val="center"/>
          </w:tcPr>
          <w:p w14:paraId="7AD48F61" w14:textId="77777777" w:rsidR="009E3063" w:rsidRDefault="00407135">
            <w:r>
              <w:t>5. Stabilization</w:t>
            </w:r>
          </w:p>
        </w:tc>
        <w:tc>
          <w:tcPr>
            <w:tcW w:w="4968" w:type="dxa"/>
            <w:tcMar>
              <w:top w:w="80" w:type="dxa"/>
              <w:left w:w="100" w:type="dxa"/>
              <w:bottom w:w="80" w:type="dxa"/>
              <w:right w:w="100" w:type="dxa"/>
            </w:tcMar>
            <w:vAlign w:val="center"/>
          </w:tcPr>
          <w:p w14:paraId="478D7D0A" w14:textId="77777777" w:rsidR="009E3063" w:rsidRDefault="00407135">
            <w:r>
              <w:t>Test, debug, verify accessibility/responsiveness/state, and remove accidental dependencies.</w:t>
            </w:r>
          </w:p>
        </w:tc>
      </w:tr>
      <w:tr w:rsidR="009E3063" w14:paraId="0EDB692F" w14:textId="77777777">
        <w:trPr>
          <w:jc w:val="center"/>
        </w:trPr>
        <w:tc>
          <w:tcPr>
            <w:tcW w:w="4968" w:type="dxa"/>
            <w:tcMar>
              <w:top w:w="80" w:type="dxa"/>
              <w:left w:w="100" w:type="dxa"/>
              <w:bottom w:w="80" w:type="dxa"/>
              <w:right w:w="100" w:type="dxa"/>
            </w:tcMar>
            <w:vAlign w:val="center"/>
          </w:tcPr>
          <w:p w14:paraId="784FDD97" w14:textId="77777777" w:rsidR="009E3063" w:rsidRDefault="00407135">
            <w:r>
              <w:t>6. Package Inventory</w:t>
            </w:r>
          </w:p>
        </w:tc>
        <w:tc>
          <w:tcPr>
            <w:tcW w:w="4968" w:type="dxa"/>
            <w:tcMar>
              <w:top w:w="80" w:type="dxa"/>
              <w:left w:w="100" w:type="dxa"/>
              <w:bottom w:w="80" w:type="dxa"/>
              <w:right w:w="100" w:type="dxa"/>
            </w:tcMar>
            <w:vAlign w:val="center"/>
          </w:tcPr>
          <w:p w14:paraId="2AF4DD52" w14:textId="77777777" w:rsidR="009E3063" w:rsidRDefault="00407135">
            <w:r>
              <w:t>Identify every source file, asset, path, and external/browser dependency.</w:t>
            </w:r>
          </w:p>
        </w:tc>
      </w:tr>
      <w:tr w:rsidR="009E3063" w14:paraId="0A50B96C" w14:textId="77777777">
        <w:trPr>
          <w:jc w:val="center"/>
        </w:trPr>
        <w:tc>
          <w:tcPr>
            <w:tcW w:w="4968" w:type="dxa"/>
            <w:tcMar>
              <w:top w:w="80" w:type="dxa"/>
              <w:left w:w="100" w:type="dxa"/>
              <w:bottom w:w="80" w:type="dxa"/>
              <w:right w:w="100" w:type="dxa"/>
            </w:tcMar>
            <w:vAlign w:val="center"/>
          </w:tcPr>
          <w:p w14:paraId="125EF41D" w14:textId="77777777" w:rsidR="009E3063" w:rsidRDefault="00407135">
            <w:r>
              <w:t>7. First Installation</w:t>
            </w:r>
          </w:p>
        </w:tc>
        <w:tc>
          <w:tcPr>
            <w:tcW w:w="4968" w:type="dxa"/>
            <w:tcMar>
              <w:top w:w="80" w:type="dxa"/>
              <w:left w:w="100" w:type="dxa"/>
              <w:bottom w:w="80" w:type="dxa"/>
              <w:right w:w="100" w:type="dxa"/>
            </w:tcMar>
            <w:vAlign w:val="center"/>
          </w:tcPr>
          <w:p w14:paraId="5FC7AD50" w14:textId="77777777" w:rsidR="009E3063" w:rsidRDefault="00407135">
            <w:r>
              <w:t>Install the unchanged package into a real receiving Foundation.</w:t>
            </w:r>
          </w:p>
        </w:tc>
      </w:tr>
      <w:tr w:rsidR="009E3063" w14:paraId="056DECDE" w14:textId="77777777">
        <w:trPr>
          <w:jc w:val="center"/>
        </w:trPr>
        <w:tc>
          <w:tcPr>
            <w:tcW w:w="4968" w:type="dxa"/>
            <w:tcMar>
              <w:top w:w="80" w:type="dxa"/>
              <w:left w:w="100" w:type="dxa"/>
              <w:bottom w:w="80" w:type="dxa"/>
              <w:right w:w="100" w:type="dxa"/>
            </w:tcMar>
            <w:vAlign w:val="center"/>
          </w:tcPr>
          <w:p w14:paraId="55E6122A" w14:textId="77777777" w:rsidR="009E3063" w:rsidRDefault="00407135">
            <w:r>
              <w:lastRenderedPageBreak/>
              <w:t>8. Adaptation</w:t>
            </w:r>
          </w:p>
        </w:tc>
        <w:tc>
          <w:tcPr>
            <w:tcW w:w="4968" w:type="dxa"/>
            <w:tcMar>
              <w:top w:w="80" w:type="dxa"/>
              <w:left w:w="100" w:type="dxa"/>
              <w:bottom w:w="80" w:type="dxa"/>
              <w:right w:w="100" w:type="dxa"/>
            </w:tcMar>
            <w:vAlign w:val="center"/>
          </w:tcPr>
          <w:p w14:paraId="7653BC5B" w14:textId="77777777" w:rsidR="009E3063" w:rsidRDefault="00407135">
            <w:r>
              <w:t>Replace Foundation-specific instructional content only after the clone itself is verified.</w:t>
            </w:r>
          </w:p>
        </w:tc>
      </w:tr>
      <w:tr w:rsidR="009E3063" w14:paraId="3134A350" w14:textId="77777777">
        <w:trPr>
          <w:jc w:val="center"/>
        </w:trPr>
        <w:tc>
          <w:tcPr>
            <w:tcW w:w="4968" w:type="dxa"/>
            <w:tcMar>
              <w:top w:w="80" w:type="dxa"/>
              <w:left w:w="100" w:type="dxa"/>
              <w:bottom w:w="80" w:type="dxa"/>
              <w:right w:w="100" w:type="dxa"/>
            </w:tcMar>
            <w:vAlign w:val="center"/>
          </w:tcPr>
          <w:p w14:paraId="6524B339" w14:textId="77777777" w:rsidR="009E3063" w:rsidRDefault="00407135">
            <w:r>
              <w:t>9. Repeatability Test</w:t>
            </w:r>
          </w:p>
        </w:tc>
        <w:tc>
          <w:tcPr>
            <w:tcW w:w="4968" w:type="dxa"/>
            <w:tcMar>
              <w:top w:w="80" w:type="dxa"/>
              <w:left w:w="100" w:type="dxa"/>
              <w:bottom w:w="80" w:type="dxa"/>
              <w:right w:w="100" w:type="dxa"/>
            </w:tcMar>
            <w:vAlign w:val="center"/>
          </w:tcPr>
          <w:p w14:paraId="4BFC82D9" w14:textId="77777777" w:rsidR="009E3063" w:rsidRDefault="00407135">
            <w:r>
              <w:t>Use the same written procedure in another Foundation.</w:t>
            </w:r>
          </w:p>
        </w:tc>
      </w:tr>
      <w:tr w:rsidR="009E3063" w14:paraId="1D9313C1" w14:textId="77777777">
        <w:trPr>
          <w:jc w:val="center"/>
        </w:trPr>
        <w:tc>
          <w:tcPr>
            <w:tcW w:w="4968" w:type="dxa"/>
            <w:tcMar>
              <w:top w:w="80" w:type="dxa"/>
              <w:left w:w="100" w:type="dxa"/>
              <w:bottom w:w="80" w:type="dxa"/>
              <w:right w:w="100" w:type="dxa"/>
            </w:tcMar>
            <w:vAlign w:val="center"/>
          </w:tcPr>
          <w:p w14:paraId="4B69FDCB" w14:textId="77777777" w:rsidR="009E3063" w:rsidRDefault="00407135">
            <w:r>
              <w:t>10. Evolution</w:t>
            </w:r>
          </w:p>
        </w:tc>
        <w:tc>
          <w:tcPr>
            <w:tcW w:w="4968" w:type="dxa"/>
            <w:tcMar>
              <w:top w:w="80" w:type="dxa"/>
              <w:left w:w="100" w:type="dxa"/>
              <w:bottom w:w="80" w:type="dxa"/>
              <w:right w:w="100" w:type="dxa"/>
            </w:tcMar>
            <w:vAlign w:val="center"/>
          </w:tcPr>
          <w:p w14:paraId="3C3A2465" w14:textId="77777777" w:rsidR="009E3063" w:rsidRDefault="00407135">
            <w:r>
              <w:t>Record improvements and deliberately propagate proven changes where appropriate.</w:t>
            </w:r>
          </w:p>
        </w:tc>
      </w:tr>
    </w:tbl>
    <w:p w14:paraId="2E699D85" w14:textId="77777777" w:rsidR="009E3063" w:rsidRDefault="00407135">
      <w:pPr>
        <w:pStyle w:val="Heading1"/>
      </w:pPr>
      <w:r>
        <w:t>6. Standard Installation and Adaptation Model</w:t>
      </w:r>
    </w:p>
    <w:p w14:paraId="24CCB8F5" w14:textId="77777777" w:rsidR="009E3063" w:rsidRDefault="00407135">
      <w:r>
        <w:t>Installation and adaptation are deliberately separate operations. This separation is necessary for debugging and for proving cloneability.</w:t>
      </w:r>
    </w:p>
    <w:p w14:paraId="5CE046F9" w14:textId="77777777" w:rsidR="009E3063" w:rsidRDefault="00407135">
      <w:pPr>
        <w:pStyle w:val="Heading2"/>
      </w:pPr>
      <w:r>
        <w:t>6.1 BUILD</w:t>
      </w:r>
    </w:p>
    <w:p w14:paraId="230FB299" w14:textId="77777777" w:rsidR="009E3063" w:rsidRDefault="00407135">
      <w:r>
        <w:t>Develop and stabilize the component independently. Do not call an unfinished prototype portable.</w:t>
      </w:r>
    </w:p>
    <w:p w14:paraId="2C435FE4" w14:textId="77777777" w:rsidR="009E3063" w:rsidRDefault="00407135">
      <w:pPr>
        <w:pStyle w:val="Heading2"/>
      </w:pPr>
      <w:r>
        <w:t>6.2 INSTALL</w:t>
      </w:r>
    </w:p>
    <w:p w14:paraId="2FC26C2B" w14:textId="77777777" w:rsidR="009E3063" w:rsidRDefault="00407135">
      <w:r>
        <w:t>Copy the complete package into the receiving Foundation without simultaneously rewriting its internal instructional content. Verify that files, assets, relative paths, controls, state, and behavior survived the migration.</w:t>
      </w:r>
    </w:p>
    <w:p w14:paraId="50BC8C41" w14:textId="77777777" w:rsidR="009E3063" w:rsidRDefault="00407135">
      <w:pPr>
        <w:pStyle w:val="Heading2"/>
      </w:pPr>
      <w:r>
        <w:t>6.3 ADAPT</w:t>
      </w:r>
    </w:p>
    <w:p w14:paraId="6C5D8343" w14:textId="77777777" w:rsidR="009E3063" w:rsidRDefault="00407135">
      <w:r>
        <w:t>After installation succeeds, change the internal instructional content to match the Foundation in which the package now sits. For a Listening Room, this can include encounter data, Russian sentences, prompts, answer choices, support text, transcripts, labels, and other topic-specific content.</w:t>
      </w:r>
    </w:p>
    <w:tbl>
      <w:tblPr>
        <w:tblW w:w="0" w:type="auto"/>
        <w:jc w:val="center"/>
        <w:tblLook w:val="04A0" w:firstRow="1" w:lastRow="0" w:firstColumn="1" w:lastColumn="0" w:noHBand="0" w:noVBand="1"/>
      </w:tblPr>
      <w:tblGrid>
        <w:gridCol w:w="9936"/>
      </w:tblGrid>
      <w:tr w:rsidR="009E3063" w14:paraId="46B81785" w14:textId="77777777">
        <w:trPr>
          <w:jc w:val="center"/>
        </w:trPr>
        <w:tc>
          <w:tcPr>
            <w:tcW w:w="9936" w:type="dxa"/>
            <w:shd w:val="clear" w:color="auto" w:fill="D9EAF7"/>
            <w:tcMar>
              <w:top w:w="120" w:type="dxa"/>
              <w:left w:w="140" w:type="dxa"/>
              <w:bottom w:w="120" w:type="dxa"/>
              <w:right w:w="140" w:type="dxa"/>
            </w:tcMar>
          </w:tcPr>
          <w:p w14:paraId="5A817F86" w14:textId="77777777" w:rsidR="009E3063" w:rsidRDefault="00407135">
            <w:pPr>
              <w:spacing w:after="60"/>
            </w:pPr>
            <w:r>
              <w:rPr>
                <w:b/>
                <w:color w:val="17365D"/>
              </w:rPr>
              <w:t>Standing sequence</w:t>
            </w:r>
          </w:p>
          <w:p w14:paraId="35061DF5" w14:textId="77777777" w:rsidR="009E3063" w:rsidRDefault="00407135">
            <w:pPr>
              <w:spacing w:after="0"/>
            </w:pPr>
            <w:r>
              <w:t>Clone → Verify → Adapt → Verify Again</w:t>
            </w:r>
          </w:p>
        </w:tc>
      </w:tr>
    </w:tbl>
    <w:p w14:paraId="1F6B2927" w14:textId="77777777" w:rsidR="009E3063" w:rsidRDefault="00407135">
      <w:pPr>
        <w:pStyle w:val="Heading2"/>
      </w:pPr>
      <w:r>
        <w:t>6.4 Exact installation procedure — PENDING FIRST PROVEN INTEGRATION</w:t>
      </w:r>
    </w:p>
    <w:p w14:paraId="6D167CDB" w14:textId="77777777" w:rsidR="009E3063" w:rsidRPr="003747C5" w:rsidRDefault="00407135" w:rsidP="003747C5">
      <w:pPr>
        <w:ind w:left="720"/>
        <w:rPr>
          <w:i/>
          <w:iCs/>
          <w:color w:val="C00000"/>
        </w:rPr>
      </w:pPr>
      <w:r w:rsidRPr="003747C5">
        <w:rPr>
          <w:i/>
          <w:iCs/>
          <w:color w:val="C00000"/>
        </w:rPr>
        <w:t>Do not fill this section with a guessed procedure. The exact step-by-step installation instructions will be written while the first completed Listening Room package is inserted into a real Foundation Project. Each actual action, path decision, dependency check, integration point, failure, fix, and verification step will be recorded.</w:t>
      </w:r>
    </w:p>
    <w:p w14:paraId="12C0C689" w14:textId="77777777" w:rsidR="009E3063" w:rsidRPr="003747C5" w:rsidRDefault="00407135" w:rsidP="003747C5">
      <w:pPr>
        <w:ind w:left="720"/>
        <w:rPr>
          <w:i/>
          <w:iCs/>
          <w:color w:val="C00000"/>
        </w:rPr>
      </w:pPr>
      <w:r w:rsidRPr="003747C5">
        <w:rPr>
          <w:i/>
          <w:iCs/>
          <w:color w:val="C00000"/>
        </w:rPr>
        <w:t>Days of the Week is expected to be the first integration proof after its Foundation code exists. Family Relationships is a strong candidate for the second implementation because it already contains substantial Foundation-specific content and working inherited G&amp;I architecture.</w:t>
      </w:r>
    </w:p>
    <w:p w14:paraId="088D3BAE" w14:textId="77777777" w:rsidR="009E3063" w:rsidRDefault="00407135">
      <w:pPr>
        <w:pStyle w:val="Heading1"/>
      </w:pPr>
      <w:r>
        <w:t>7. Cloneability: What Counts as Proof</w:t>
      </w:r>
    </w:p>
    <w:p w14:paraId="2D3747BF" w14:textId="77777777" w:rsidR="009E3063" w:rsidRDefault="00407135">
      <w:r>
        <w:t>A component is not proven cloneable because its original implementation works. Cloneability is demonstrated when the complete package can be installed into another Foundation using its documented procedure, adapted to new instructional content without reconstructing its core architecture, and retain its intended behavior.</w:t>
      </w:r>
    </w:p>
    <w:p w14:paraId="3CC83371" w14:textId="77777777" w:rsidR="009E3063" w:rsidRDefault="00407135">
      <w:pPr>
        <w:pStyle w:val="Heading2"/>
      </w:pPr>
      <w:r>
        <w:t>7.1 Proposed proof ladder</w:t>
      </w:r>
    </w:p>
    <w:p w14:paraId="676A53B6" w14:textId="77777777" w:rsidR="009E3063" w:rsidRDefault="00407135">
      <w:pPr>
        <w:pStyle w:val="ListBullet"/>
        <w:spacing w:after="40"/>
      </w:pPr>
      <w:r>
        <w:t>Proof 0 — Reference implementation works in its development environment.</w:t>
      </w:r>
    </w:p>
    <w:p w14:paraId="751A48E7" w14:textId="77777777" w:rsidR="009E3063" w:rsidRDefault="00407135">
      <w:pPr>
        <w:pStyle w:val="ListBullet"/>
        <w:spacing w:after="40"/>
      </w:pPr>
      <w:r>
        <w:lastRenderedPageBreak/>
        <w:t>Proof 1 — Package is copied into the first receiving Foundation and works before content adaptation.</w:t>
      </w:r>
    </w:p>
    <w:p w14:paraId="0C6BB351" w14:textId="77777777" w:rsidR="009E3063" w:rsidRDefault="00407135">
      <w:pPr>
        <w:pStyle w:val="ListBullet"/>
        <w:spacing w:after="40"/>
      </w:pPr>
      <w:r>
        <w:t>Proof 2 — Foundation-specific content is adapted and the component still works.</w:t>
      </w:r>
    </w:p>
    <w:p w14:paraId="1ACAE566" w14:textId="77777777" w:rsidR="009E3063" w:rsidRDefault="00407135">
      <w:pPr>
        <w:pStyle w:val="ListBullet"/>
        <w:spacing w:after="40"/>
      </w:pPr>
      <w:r>
        <w:t>Proof 3 — The same documented installation procedure succeeds in a second Foundation.</w:t>
      </w:r>
    </w:p>
    <w:p w14:paraId="74CF2BA8" w14:textId="77777777" w:rsidR="009E3063" w:rsidRDefault="00407135">
      <w:pPr>
        <w:pStyle w:val="ListBullet"/>
        <w:spacing w:after="40"/>
      </w:pPr>
      <w:r>
        <w:t>Proof 4 — Deviations discovered in later installations are incorporated into the standard and retested.</w:t>
      </w:r>
    </w:p>
    <w:tbl>
      <w:tblPr>
        <w:tblW w:w="0" w:type="auto"/>
        <w:jc w:val="center"/>
        <w:tblLook w:val="04A0" w:firstRow="1" w:lastRow="0" w:firstColumn="1" w:lastColumn="0" w:noHBand="0" w:noVBand="1"/>
      </w:tblPr>
      <w:tblGrid>
        <w:gridCol w:w="9936"/>
      </w:tblGrid>
      <w:tr w:rsidR="009E3063" w14:paraId="0E726A10" w14:textId="77777777">
        <w:trPr>
          <w:jc w:val="center"/>
        </w:trPr>
        <w:tc>
          <w:tcPr>
            <w:tcW w:w="9936" w:type="dxa"/>
            <w:shd w:val="clear" w:color="auto" w:fill="EEF5FA"/>
            <w:tcMar>
              <w:top w:w="120" w:type="dxa"/>
              <w:left w:w="140" w:type="dxa"/>
              <w:bottom w:w="120" w:type="dxa"/>
              <w:right w:w="140" w:type="dxa"/>
            </w:tcMar>
          </w:tcPr>
          <w:p w14:paraId="4ACAAF50" w14:textId="77777777" w:rsidR="009E3063" w:rsidRDefault="00407135">
            <w:pPr>
              <w:spacing w:after="60"/>
            </w:pPr>
            <w:r>
              <w:rPr>
                <w:b/>
                <w:color w:val="17365D"/>
              </w:rPr>
              <w:t>Key test</w:t>
            </w:r>
          </w:p>
          <w:p w14:paraId="5CB45D76" w14:textId="77777777" w:rsidR="009E3063" w:rsidRDefault="00407135">
            <w:pPr>
              <w:spacing w:after="0"/>
            </w:pPr>
            <w:r>
              <w:t>If the second Foundation requires undocumented surgery, the package or the instructions are not yet mature. That is evidence to improve the architecture, not something to hide.</w:t>
            </w:r>
          </w:p>
        </w:tc>
      </w:tr>
    </w:tbl>
    <w:p w14:paraId="565B9465" w14:textId="77777777" w:rsidR="009E3063" w:rsidRDefault="00407135">
      <w:pPr>
        <w:pStyle w:val="Heading1"/>
      </w:pPr>
      <w:r>
        <w:t>8. Required Documentation for Every Package</w:t>
      </w:r>
    </w:p>
    <w:p w14:paraId="1258C375" w14:textId="77777777" w:rsidR="009E3063" w:rsidRDefault="00407135">
      <w:pPr>
        <w:pStyle w:val="ListBullet"/>
        <w:spacing w:after="40"/>
      </w:pPr>
      <w:r>
        <w:t>Purpose and learner experience.</w:t>
      </w:r>
    </w:p>
    <w:p w14:paraId="724F0E08" w14:textId="77777777" w:rsidR="009E3063" w:rsidRDefault="00407135">
      <w:pPr>
        <w:pStyle w:val="ListBullet"/>
        <w:spacing w:after="40"/>
      </w:pPr>
      <w:r>
        <w:t>Reusable architecture versus Foundation-specific content.</w:t>
      </w:r>
    </w:p>
    <w:p w14:paraId="5DDA4164" w14:textId="77777777" w:rsidR="009E3063" w:rsidRDefault="00407135">
      <w:pPr>
        <w:pStyle w:val="ListBullet"/>
        <w:spacing w:after="40"/>
      </w:pPr>
      <w:r>
        <w:t>Exact package folder structure.</w:t>
      </w:r>
    </w:p>
    <w:p w14:paraId="190B762B" w14:textId="77777777" w:rsidR="009E3063" w:rsidRDefault="00407135">
      <w:pPr>
        <w:pStyle w:val="ListBullet"/>
        <w:spacing w:after="40"/>
      </w:pPr>
      <w:r>
        <w:t>Primary source files.</w:t>
      </w:r>
    </w:p>
    <w:p w14:paraId="67C1051E" w14:textId="77777777" w:rsidR="009E3063" w:rsidRDefault="00407135">
      <w:pPr>
        <w:pStyle w:val="ListBullet"/>
        <w:spacing w:after="40"/>
      </w:pPr>
      <w:r>
        <w:t>Local assets.</w:t>
      </w:r>
    </w:p>
    <w:p w14:paraId="72EE4442" w14:textId="77777777" w:rsidR="009E3063" w:rsidRDefault="00407135">
      <w:pPr>
        <w:pStyle w:val="ListBullet"/>
        <w:spacing w:after="40"/>
      </w:pPr>
      <w:r>
        <w:t>External/browser dependencies.</w:t>
      </w:r>
    </w:p>
    <w:p w14:paraId="39BD9B8D" w14:textId="77777777" w:rsidR="009E3063" w:rsidRDefault="00407135">
      <w:pPr>
        <w:pStyle w:val="ListBullet"/>
        <w:spacing w:after="40"/>
      </w:pPr>
      <w:r>
        <w:t>Required class names, IDs, data attributes, and integration hooks.</w:t>
      </w:r>
    </w:p>
    <w:p w14:paraId="3A054890" w14:textId="77777777" w:rsidR="009E3063" w:rsidRDefault="00407135">
      <w:pPr>
        <w:pStyle w:val="ListBullet"/>
        <w:spacing w:after="40"/>
      </w:pPr>
      <w:r>
        <w:t>Protected/shared architecture: what should not be casually rewritten during adaptation.</w:t>
      </w:r>
    </w:p>
    <w:p w14:paraId="77BD9C11" w14:textId="77777777" w:rsidR="009E3063" w:rsidRDefault="00407135">
      <w:pPr>
        <w:pStyle w:val="ListBullet"/>
        <w:spacing w:after="40"/>
      </w:pPr>
      <w:r>
        <w:t>Adaptation points: what is expected to change by Foundation.</w:t>
      </w:r>
    </w:p>
    <w:p w14:paraId="40193DA0" w14:textId="77777777" w:rsidR="009E3063" w:rsidRDefault="00407135">
      <w:pPr>
        <w:pStyle w:val="ListBullet"/>
        <w:spacing w:after="40"/>
      </w:pPr>
      <w:r>
        <w:t>Exact installation instructions after they have been proven.</w:t>
      </w:r>
    </w:p>
    <w:p w14:paraId="235DE9EF" w14:textId="77777777" w:rsidR="009E3063" w:rsidRDefault="00407135">
      <w:pPr>
        <w:pStyle w:val="ListBullet"/>
        <w:spacing w:after="40"/>
      </w:pPr>
      <w:r>
        <w:t>Post-clone verification checklist.</w:t>
      </w:r>
    </w:p>
    <w:p w14:paraId="64E44240" w14:textId="77777777" w:rsidR="009E3063" w:rsidRDefault="00407135">
      <w:pPr>
        <w:pStyle w:val="ListBullet"/>
        <w:spacing w:after="40"/>
      </w:pPr>
      <w:r>
        <w:t>Post-adaptation verification checklist.</w:t>
      </w:r>
    </w:p>
    <w:p w14:paraId="23CE7595" w14:textId="77777777" w:rsidR="009E3063" w:rsidRDefault="00407135">
      <w:pPr>
        <w:pStyle w:val="ListBullet"/>
        <w:spacing w:after="40"/>
      </w:pPr>
      <w:r>
        <w:t>Accessibility and responsive-behavior requirements.</w:t>
      </w:r>
    </w:p>
    <w:p w14:paraId="428190EC" w14:textId="77777777" w:rsidR="009E3063" w:rsidRDefault="00407135">
      <w:pPr>
        <w:pStyle w:val="ListBullet"/>
        <w:spacing w:after="40"/>
      </w:pPr>
      <w:r>
        <w:t>Known failure points and debugging notes.</w:t>
      </w:r>
    </w:p>
    <w:p w14:paraId="7FA1859F" w14:textId="77777777" w:rsidR="009E3063" w:rsidRDefault="00407135">
      <w:pPr>
        <w:pStyle w:val="ListBullet"/>
        <w:spacing w:after="40"/>
      </w:pPr>
      <w:r>
        <w:t>Evolution log explaining why reusable architecture changes.</w:t>
      </w:r>
    </w:p>
    <w:p w14:paraId="7290276F" w14:textId="77777777" w:rsidR="009E3063" w:rsidRDefault="00407135">
      <w:pPr>
        <w:pStyle w:val="Heading1"/>
      </w:pPr>
      <w:r>
        <w:t>9. Integration and Testing Standard</w:t>
      </w:r>
    </w:p>
    <w:p w14:paraId="1F45C523" w14:textId="77777777" w:rsidR="009E3063" w:rsidRDefault="00407135">
      <w:r>
        <w:t>Every package installation should eventually be tested as a controlled migration rather than treated as ordinary copy/paste. The final standard will be refined from real integrations.</w:t>
      </w:r>
    </w:p>
    <w:p w14:paraId="52A89446" w14:textId="77777777" w:rsidR="009E3063" w:rsidRDefault="00407135">
      <w:pPr>
        <w:pStyle w:val="ListBullet"/>
        <w:spacing w:after="40"/>
      </w:pPr>
      <w:r>
        <w:t>All package files are present in the expected location.</w:t>
      </w:r>
    </w:p>
    <w:p w14:paraId="284D22FD" w14:textId="77777777" w:rsidR="009E3063" w:rsidRDefault="00407135">
      <w:pPr>
        <w:pStyle w:val="ListBullet"/>
        <w:spacing w:after="40"/>
      </w:pPr>
      <w:r>
        <w:t>All local asset paths resolve.</w:t>
      </w:r>
    </w:p>
    <w:p w14:paraId="32440A6B" w14:textId="77777777" w:rsidR="009E3063" w:rsidRDefault="00407135">
      <w:pPr>
        <w:pStyle w:val="ListBullet"/>
        <w:spacing w:after="40"/>
      </w:pPr>
      <w:r>
        <w:t>CSS and JavaScript connections resolve.</w:t>
      </w:r>
    </w:p>
    <w:p w14:paraId="775081C9" w14:textId="77777777" w:rsidR="009E3063" w:rsidRDefault="00407135">
      <w:pPr>
        <w:pStyle w:val="ListBullet"/>
        <w:spacing w:after="40"/>
      </w:pPr>
      <w:r>
        <w:t>No unexpected dependency on the Testing Lab or original Foundation remains.</w:t>
      </w:r>
    </w:p>
    <w:p w14:paraId="668FF0D5" w14:textId="77777777" w:rsidR="009E3063" w:rsidRDefault="00407135">
      <w:pPr>
        <w:pStyle w:val="ListBullet"/>
        <w:spacing w:after="40"/>
      </w:pPr>
      <w:r>
        <w:t>Component loads without console errors.</w:t>
      </w:r>
    </w:p>
    <w:p w14:paraId="3B16FC1D" w14:textId="77777777" w:rsidR="009E3063" w:rsidRDefault="00407135">
      <w:pPr>
        <w:pStyle w:val="ListBullet"/>
        <w:spacing w:after="40"/>
      </w:pPr>
      <w:r>
        <w:t>Entry and exit/navigation behavior works in the receiving Foundation.</w:t>
      </w:r>
    </w:p>
    <w:p w14:paraId="7BD2AB1D" w14:textId="77777777" w:rsidR="009E3063" w:rsidRDefault="00407135">
      <w:pPr>
        <w:pStyle w:val="ListBullet"/>
        <w:spacing w:after="40"/>
      </w:pPr>
      <w:r>
        <w:t>State changes remain synchronized.</w:t>
      </w:r>
    </w:p>
    <w:p w14:paraId="5BFB7BC8" w14:textId="77777777" w:rsidR="009E3063" w:rsidRDefault="00407135">
      <w:pPr>
        <w:pStyle w:val="ListBullet"/>
        <w:spacing w:after="40"/>
      </w:pPr>
      <w:r>
        <w:t>Reset/replay behavior returns the component to a clean state.</w:t>
      </w:r>
    </w:p>
    <w:p w14:paraId="59C8986C" w14:textId="77777777" w:rsidR="009E3063" w:rsidRDefault="00407135">
      <w:pPr>
        <w:pStyle w:val="ListBullet"/>
        <w:spacing w:after="40"/>
      </w:pPr>
      <w:r>
        <w:t>Keyboard interaction and focus behavior remain usable.</w:t>
      </w:r>
    </w:p>
    <w:p w14:paraId="7F8C4F3B" w14:textId="77777777" w:rsidR="009E3063" w:rsidRDefault="00407135">
      <w:pPr>
        <w:pStyle w:val="ListBullet"/>
        <w:spacing w:after="40"/>
      </w:pPr>
      <w:r>
        <w:t>Responsive behavior survives integration.</w:t>
      </w:r>
    </w:p>
    <w:p w14:paraId="44C88F22" w14:textId="77777777" w:rsidR="009E3063" w:rsidRDefault="00407135">
      <w:pPr>
        <w:pStyle w:val="ListBullet"/>
        <w:spacing w:after="40"/>
      </w:pPr>
      <w:r>
        <w:t>Feedback and support states remain understandable.</w:t>
      </w:r>
    </w:p>
    <w:p w14:paraId="5D27D933" w14:textId="77777777" w:rsidR="009E3063" w:rsidRDefault="00407135">
      <w:pPr>
        <w:pStyle w:val="ListBullet"/>
        <w:spacing w:after="40"/>
      </w:pPr>
      <w:r>
        <w:t>Foundation-specific content does not break reusable behavior.</w:t>
      </w:r>
    </w:p>
    <w:p w14:paraId="5CC46F2A" w14:textId="77777777" w:rsidR="009E3063" w:rsidRDefault="00407135">
      <w:pPr>
        <w:pStyle w:val="ListBullet"/>
        <w:spacing w:after="40"/>
      </w:pPr>
      <w:r>
        <w:t>The component still feels recognizably like the same signature experience.</w:t>
      </w:r>
    </w:p>
    <w:p w14:paraId="76E97ED6" w14:textId="77777777" w:rsidR="009E3063" w:rsidRDefault="00407135">
      <w:pPr>
        <w:pStyle w:val="Heading1"/>
      </w:pPr>
      <w:r>
        <w:lastRenderedPageBreak/>
        <w:t>10. Component Registry</w:t>
      </w:r>
    </w:p>
    <w:tbl>
      <w:tblPr>
        <w:tblStyle w:val="TableGrid"/>
        <w:tblW w:w="0" w:type="auto"/>
        <w:jc w:val="center"/>
        <w:tblLook w:val="04A0" w:firstRow="1" w:lastRow="0" w:firstColumn="1" w:lastColumn="0" w:noHBand="0" w:noVBand="1"/>
      </w:tblPr>
      <w:tblGrid>
        <w:gridCol w:w="2482"/>
        <w:gridCol w:w="2482"/>
        <w:gridCol w:w="2481"/>
        <w:gridCol w:w="2481"/>
      </w:tblGrid>
      <w:tr w:rsidR="009E3063" w14:paraId="43ED4F7E" w14:textId="77777777">
        <w:trPr>
          <w:jc w:val="center"/>
        </w:trPr>
        <w:tc>
          <w:tcPr>
            <w:tcW w:w="2484" w:type="dxa"/>
            <w:shd w:val="clear" w:color="auto" w:fill="17365D"/>
          </w:tcPr>
          <w:p w14:paraId="76B3DD1D" w14:textId="77777777" w:rsidR="009E3063" w:rsidRDefault="00407135">
            <w:r>
              <w:rPr>
                <w:b/>
                <w:color w:val="FFFFFF"/>
              </w:rPr>
              <w:t>Package</w:t>
            </w:r>
          </w:p>
        </w:tc>
        <w:tc>
          <w:tcPr>
            <w:tcW w:w="2484" w:type="dxa"/>
            <w:shd w:val="clear" w:color="auto" w:fill="17365D"/>
          </w:tcPr>
          <w:p w14:paraId="6D3687A9" w14:textId="77777777" w:rsidR="009E3063" w:rsidRDefault="00407135">
            <w:r>
              <w:rPr>
                <w:b/>
                <w:color w:val="FFFFFF"/>
              </w:rPr>
              <w:t>Status</w:t>
            </w:r>
          </w:p>
        </w:tc>
        <w:tc>
          <w:tcPr>
            <w:tcW w:w="2484" w:type="dxa"/>
            <w:shd w:val="clear" w:color="auto" w:fill="17365D"/>
          </w:tcPr>
          <w:p w14:paraId="5FFF4E69" w14:textId="77777777" w:rsidR="009E3063" w:rsidRDefault="00407135">
            <w:r>
              <w:rPr>
                <w:b/>
                <w:color w:val="FFFFFF"/>
              </w:rPr>
              <w:t>Reference / proving context</w:t>
            </w:r>
          </w:p>
        </w:tc>
        <w:tc>
          <w:tcPr>
            <w:tcW w:w="2484" w:type="dxa"/>
            <w:shd w:val="clear" w:color="auto" w:fill="17365D"/>
          </w:tcPr>
          <w:p w14:paraId="60700143" w14:textId="77777777" w:rsidR="009E3063" w:rsidRDefault="00407135">
            <w:r>
              <w:rPr>
                <w:b/>
                <w:color w:val="FFFFFF"/>
              </w:rPr>
              <w:t>Notes</w:t>
            </w:r>
          </w:p>
        </w:tc>
      </w:tr>
      <w:tr w:rsidR="009E3063" w14:paraId="7EE17804" w14:textId="77777777">
        <w:trPr>
          <w:jc w:val="center"/>
        </w:trPr>
        <w:tc>
          <w:tcPr>
            <w:tcW w:w="2484" w:type="dxa"/>
            <w:tcMar>
              <w:top w:w="80" w:type="dxa"/>
              <w:left w:w="100" w:type="dxa"/>
              <w:bottom w:w="80" w:type="dxa"/>
              <w:right w:w="100" w:type="dxa"/>
            </w:tcMar>
          </w:tcPr>
          <w:p w14:paraId="020F5AB0" w14:textId="77777777" w:rsidR="009E3063" w:rsidRDefault="00407135">
            <w:r>
              <w:t>Listening Room</w:t>
            </w:r>
          </w:p>
        </w:tc>
        <w:tc>
          <w:tcPr>
            <w:tcW w:w="2484" w:type="dxa"/>
            <w:tcMar>
              <w:top w:w="80" w:type="dxa"/>
              <w:left w:w="100" w:type="dxa"/>
              <w:bottom w:w="80" w:type="dxa"/>
              <w:right w:w="100" w:type="dxa"/>
            </w:tcMar>
          </w:tcPr>
          <w:p w14:paraId="2216B11C" w14:textId="77777777" w:rsidR="009E3063" w:rsidRDefault="00407135">
            <w:r>
              <w:t>Reference implementation complete; portability process beginning</w:t>
            </w:r>
          </w:p>
        </w:tc>
        <w:tc>
          <w:tcPr>
            <w:tcW w:w="2484" w:type="dxa"/>
            <w:tcMar>
              <w:top w:w="80" w:type="dxa"/>
              <w:left w:w="100" w:type="dxa"/>
              <w:bottom w:w="80" w:type="dxa"/>
              <w:right w:w="100" w:type="dxa"/>
            </w:tcMar>
          </w:tcPr>
          <w:p w14:paraId="5B95483A" w14:textId="77777777" w:rsidR="009E3063" w:rsidRDefault="00407135">
            <w:r>
              <w:t>Days of the Week / Testing Lab</w:t>
            </w:r>
          </w:p>
        </w:tc>
        <w:tc>
          <w:tcPr>
            <w:tcW w:w="2484" w:type="dxa"/>
            <w:tcMar>
              <w:top w:w="80" w:type="dxa"/>
              <w:left w:w="100" w:type="dxa"/>
              <w:bottom w:w="80" w:type="dxa"/>
              <w:right w:w="100" w:type="dxa"/>
            </w:tcMar>
          </w:tcPr>
          <w:p w14:paraId="0900CDBD" w14:textId="77777777" w:rsidR="009E3063" w:rsidRDefault="00407135">
            <w:r>
              <w:t>Portable Package #1</w:t>
            </w:r>
          </w:p>
        </w:tc>
      </w:tr>
      <w:tr w:rsidR="009E3063" w14:paraId="5F9FD87F" w14:textId="77777777">
        <w:trPr>
          <w:jc w:val="center"/>
        </w:trPr>
        <w:tc>
          <w:tcPr>
            <w:tcW w:w="2484" w:type="dxa"/>
            <w:tcMar>
              <w:top w:w="80" w:type="dxa"/>
              <w:left w:w="100" w:type="dxa"/>
              <w:bottom w:w="80" w:type="dxa"/>
              <w:right w:w="100" w:type="dxa"/>
            </w:tcMar>
          </w:tcPr>
          <w:p w14:paraId="2AC61FAD" w14:textId="77777777" w:rsidR="009E3063" w:rsidRDefault="00407135">
            <w:r>
              <w:t>The Four Doors</w:t>
            </w:r>
          </w:p>
        </w:tc>
        <w:tc>
          <w:tcPr>
            <w:tcW w:w="2484" w:type="dxa"/>
            <w:tcMar>
              <w:top w:w="80" w:type="dxa"/>
              <w:left w:w="100" w:type="dxa"/>
              <w:bottom w:w="80" w:type="dxa"/>
              <w:right w:w="100" w:type="dxa"/>
            </w:tcMar>
          </w:tcPr>
          <w:p w14:paraId="0DB9EAD2" w14:textId="77777777" w:rsidR="009E3063" w:rsidRDefault="00407135">
            <w:r>
              <w:t>Planned candidate</w:t>
            </w:r>
          </w:p>
        </w:tc>
        <w:tc>
          <w:tcPr>
            <w:tcW w:w="2484" w:type="dxa"/>
            <w:tcMar>
              <w:top w:w="80" w:type="dxa"/>
              <w:left w:w="100" w:type="dxa"/>
              <w:bottom w:w="80" w:type="dxa"/>
              <w:right w:w="100" w:type="dxa"/>
            </w:tcMar>
          </w:tcPr>
          <w:p w14:paraId="30722BE5" w14:textId="77777777" w:rsidR="009E3063" w:rsidRDefault="00407135">
            <w:r>
              <w:t>G&amp;I pioneered the experience</w:t>
            </w:r>
          </w:p>
        </w:tc>
        <w:tc>
          <w:tcPr>
            <w:tcW w:w="2484" w:type="dxa"/>
            <w:tcMar>
              <w:top w:w="80" w:type="dxa"/>
              <w:left w:w="100" w:type="dxa"/>
              <w:bottom w:w="80" w:type="dxa"/>
              <w:right w:w="100" w:type="dxa"/>
            </w:tcMar>
          </w:tcPr>
          <w:p w14:paraId="270AAD1C" w14:textId="77777777" w:rsidR="009E3063" w:rsidRDefault="00407135">
            <w:r>
              <w:t>Future self-contained Doors Thingy™</w:t>
            </w:r>
          </w:p>
        </w:tc>
      </w:tr>
      <w:tr w:rsidR="009E3063" w14:paraId="00E86748" w14:textId="77777777">
        <w:trPr>
          <w:jc w:val="center"/>
        </w:trPr>
        <w:tc>
          <w:tcPr>
            <w:tcW w:w="2484" w:type="dxa"/>
            <w:tcMar>
              <w:top w:w="80" w:type="dxa"/>
              <w:left w:w="100" w:type="dxa"/>
              <w:bottom w:w="80" w:type="dxa"/>
              <w:right w:w="100" w:type="dxa"/>
            </w:tcMar>
          </w:tcPr>
          <w:p w14:paraId="12416B5D" w14:textId="77777777" w:rsidR="009E3063" w:rsidRDefault="00407135">
            <w:r>
              <w:t>Mini-World</w:t>
            </w:r>
          </w:p>
        </w:tc>
        <w:tc>
          <w:tcPr>
            <w:tcW w:w="2484" w:type="dxa"/>
            <w:tcMar>
              <w:top w:w="80" w:type="dxa"/>
              <w:left w:w="100" w:type="dxa"/>
              <w:bottom w:w="80" w:type="dxa"/>
              <w:right w:w="100" w:type="dxa"/>
            </w:tcMar>
          </w:tcPr>
          <w:p w14:paraId="72C07F7C" w14:textId="77777777" w:rsidR="009E3063" w:rsidRDefault="00407135">
            <w:r>
              <w:t>Strong candidate</w:t>
            </w:r>
          </w:p>
        </w:tc>
        <w:tc>
          <w:tcPr>
            <w:tcW w:w="2484" w:type="dxa"/>
            <w:tcMar>
              <w:top w:w="80" w:type="dxa"/>
              <w:left w:w="100" w:type="dxa"/>
              <w:bottom w:w="80" w:type="dxa"/>
              <w:right w:w="100" w:type="dxa"/>
            </w:tcMar>
          </w:tcPr>
          <w:p w14:paraId="5DE7BACC" w14:textId="77777777" w:rsidR="009E3063" w:rsidRDefault="00407135">
            <w:r>
              <w:t>Days / future Foundations</w:t>
            </w:r>
          </w:p>
        </w:tc>
        <w:tc>
          <w:tcPr>
            <w:tcW w:w="2484" w:type="dxa"/>
            <w:tcMar>
              <w:top w:w="80" w:type="dxa"/>
              <w:left w:w="100" w:type="dxa"/>
              <w:bottom w:w="80" w:type="dxa"/>
              <w:right w:w="100" w:type="dxa"/>
            </w:tcMar>
          </w:tcPr>
          <w:p w14:paraId="1DF5FC9A" w14:textId="77777777" w:rsidR="009E3063" w:rsidRDefault="00407135">
            <w:r>
              <w:t>Responsive system where learner choices cause outcomes</w:t>
            </w:r>
          </w:p>
        </w:tc>
      </w:tr>
      <w:tr w:rsidR="009E3063" w14:paraId="3953755C" w14:textId="77777777">
        <w:trPr>
          <w:jc w:val="center"/>
        </w:trPr>
        <w:tc>
          <w:tcPr>
            <w:tcW w:w="2484" w:type="dxa"/>
            <w:tcMar>
              <w:top w:w="80" w:type="dxa"/>
              <w:left w:w="100" w:type="dxa"/>
              <w:bottom w:w="80" w:type="dxa"/>
              <w:right w:w="100" w:type="dxa"/>
            </w:tcMar>
          </w:tcPr>
          <w:p w14:paraId="6ECEE5A2" w14:textId="77777777" w:rsidR="009E3063" w:rsidRDefault="00407135">
            <w:r>
              <w:t>Grammar Candy / Interactive Grammar Visuals</w:t>
            </w:r>
          </w:p>
        </w:tc>
        <w:tc>
          <w:tcPr>
            <w:tcW w:w="2484" w:type="dxa"/>
            <w:tcMar>
              <w:top w:w="80" w:type="dxa"/>
              <w:left w:w="100" w:type="dxa"/>
              <w:bottom w:w="80" w:type="dxa"/>
              <w:right w:w="100" w:type="dxa"/>
            </w:tcMar>
          </w:tcPr>
          <w:p w14:paraId="124C65B3" w14:textId="77777777" w:rsidR="009E3063" w:rsidRDefault="00407135">
            <w:r>
              <w:t>Possible framework candidate</w:t>
            </w:r>
          </w:p>
        </w:tc>
        <w:tc>
          <w:tcPr>
            <w:tcW w:w="2484" w:type="dxa"/>
            <w:tcMar>
              <w:top w:w="80" w:type="dxa"/>
              <w:left w:w="100" w:type="dxa"/>
              <w:bottom w:w="80" w:type="dxa"/>
              <w:right w:w="100" w:type="dxa"/>
            </w:tcMar>
          </w:tcPr>
          <w:p w14:paraId="17E64DFC" w14:textId="77777777" w:rsidR="009E3063" w:rsidRDefault="00407135">
            <w:r>
              <w:t>Multiple Foundations</w:t>
            </w:r>
          </w:p>
        </w:tc>
        <w:tc>
          <w:tcPr>
            <w:tcW w:w="2484" w:type="dxa"/>
            <w:tcMar>
              <w:top w:w="80" w:type="dxa"/>
              <w:left w:w="100" w:type="dxa"/>
              <w:bottom w:w="80" w:type="dxa"/>
              <w:right w:w="100" w:type="dxa"/>
            </w:tcMar>
          </w:tcPr>
          <w:p w14:paraId="794A7ABC" w14:textId="77777777" w:rsidR="009E3063" w:rsidRDefault="00407135">
            <w:r>
              <w:t>Do not classify as one package until architecture proves it</w:t>
            </w:r>
          </w:p>
        </w:tc>
      </w:tr>
      <w:tr w:rsidR="009E3063" w14:paraId="4173064A" w14:textId="77777777">
        <w:trPr>
          <w:jc w:val="center"/>
        </w:trPr>
        <w:tc>
          <w:tcPr>
            <w:tcW w:w="2484" w:type="dxa"/>
            <w:tcMar>
              <w:top w:w="80" w:type="dxa"/>
              <w:left w:w="100" w:type="dxa"/>
              <w:bottom w:w="80" w:type="dxa"/>
              <w:right w:w="100" w:type="dxa"/>
            </w:tcMar>
          </w:tcPr>
          <w:p w14:paraId="51CA1606" w14:textId="77777777" w:rsidR="009E3063" w:rsidRDefault="00407135">
            <w:r>
              <w:t>Future Family Relationships feature</w:t>
            </w:r>
          </w:p>
        </w:tc>
        <w:tc>
          <w:tcPr>
            <w:tcW w:w="2484" w:type="dxa"/>
            <w:tcMar>
              <w:top w:w="80" w:type="dxa"/>
              <w:left w:w="100" w:type="dxa"/>
              <w:bottom w:w="80" w:type="dxa"/>
              <w:right w:w="100" w:type="dxa"/>
            </w:tcMar>
          </w:tcPr>
          <w:p w14:paraId="50BBC895" w14:textId="77777777" w:rsidR="009E3063" w:rsidRDefault="00407135">
            <w:r>
              <w:t>Candidate not yet identified</w:t>
            </w:r>
          </w:p>
        </w:tc>
        <w:tc>
          <w:tcPr>
            <w:tcW w:w="2484" w:type="dxa"/>
            <w:tcMar>
              <w:top w:w="80" w:type="dxa"/>
              <w:left w:w="100" w:type="dxa"/>
              <w:bottom w:w="80" w:type="dxa"/>
              <w:right w:w="100" w:type="dxa"/>
            </w:tcMar>
          </w:tcPr>
          <w:p w14:paraId="4F0AE541" w14:textId="77777777" w:rsidR="009E3063" w:rsidRDefault="00407135">
            <w:r>
              <w:t>Family Relationships</w:t>
            </w:r>
          </w:p>
        </w:tc>
        <w:tc>
          <w:tcPr>
            <w:tcW w:w="2484" w:type="dxa"/>
            <w:tcMar>
              <w:top w:w="80" w:type="dxa"/>
              <w:left w:w="100" w:type="dxa"/>
              <w:bottom w:w="80" w:type="dxa"/>
              <w:right w:w="100" w:type="dxa"/>
            </w:tcMar>
          </w:tcPr>
          <w:p w14:paraId="7009C261" w14:textId="77777777" w:rsidR="009E3063" w:rsidRDefault="00407135">
            <w:r>
              <w:t>Evaluate when Michael reaches the relevant development point</w:t>
            </w:r>
          </w:p>
        </w:tc>
      </w:tr>
    </w:tbl>
    <w:p w14:paraId="74C512E1" w14:textId="77777777" w:rsidR="009E3063" w:rsidRDefault="00407135">
      <w:pPr>
        <w:pStyle w:val="Heading1"/>
      </w:pPr>
      <w:r>
        <w:t>11. Portable Component Package #1 — Listening Room</w:t>
      </w:r>
    </w:p>
    <w:p w14:paraId="47724550" w14:textId="77777777" w:rsidR="009E3063" w:rsidRDefault="00407135">
      <w:pPr>
        <w:pStyle w:val="Heading2"/>
      </w:pPr>
      <w:r>
        <w:t>11.1 Experience identity</w:t>
      </w:r>
    </w:p>
    <w:p w14:paraId="05D9E668" w14:textId="77777777" w:rsidR="009E3063" w:rsidRDefault="00407135">
      <w:r>
        <w:t>The Listening Room is not merely an audio activity. It is an environment in which listening becomes the primary way the learner makes meaning. Normal lessons integrate listening throughout; the Listening Room deliberately quiets the visual world so the learner listens, catches familiar language, listens again with purpose, builds meaning, infers, and responds.</w:t>
      </w:r>
    </w:p>
    <w:p w14:paraId="1368DD2E" w14:textId="77777777" w:rsidR="009E3063" w:rsidRDefault="00407135">
      <w:r>
        <w:t>Working listening progression:</w:t>
      </w:r>
    </w:p>
    <w:tbl>
      <w:tblPr>
        <w:tblW w:w="0" w:type="auto"/>
        <w:jc w:val="center"/>
        <w:tblLook w:val="04A0" w:firstRow="1" w:lastRow="0" w:firstColumn="1" w:lastColumn="0" w:noHBand="0" w:noVBand="1"/>
      </w:tblPr>
      <w:tblGrid>
        <w:gridCol w:w="9936"/>
      </w:tblGrid>
      <w:tr w:rsidR="009E3063" w14:paraId="2757BFE9" w14:textId="77777777">
        <w:trPr>
          <w:jc w:val="center"/>
        </w:trPr>
        <w:tc>
          <w:tcPr>
            <w:tcW w:w="9936" w:type="dxa"/>
            <w:shd w:val="clear" w:color="auto" w:fill="EEF5FA"/>
            <w:tcMar>
              <w:top w:w="120" w:type="dxa"/>
              <w:left w:w="140" w:type="dxa"/>
              <w:bottom w:w="120" w:type="dxa"/>
              <w:right w:w="140" w:type="dxa"/>
            </w:tcMar>
          </w:tcPr>
          <w:p w14:paraId="38F9E66F" w14:textId="77777777" w:rsidR="009E3063" w:rsidRDefault="00407135">
            <w:pPr>
              <w:spacing w:after="60"/>
            </w:pPr>
            <w:r>
              <w:rPr>
                <w:b/>
                <w:color w:val="17365D"/>
              </w:rPr>
              <w:t>HEAR → CATCH → LISTEN AGAIN → BUILD MEANING → INFER → RESPOND</w:t>
            </w:r>
          </w:p>
          <w:p w14:paraId="6609F70E" w14:textId="77777777" w:rsidR="009E3063" w:rsidRDefault="00407135">
            <w:pPr>
              <w:spacing w:after="0"/>
            </w:pPr>
            <w:r>
              <w:t>Not every encounter must use every move forever; the progression remains subject to learner testing and deliberate evolution.</w:t>
            </w:r>
          </w:p>
        </w:tc>
      </w:tr>
    </w:tbl>
    <w:p w14:paraId="6C6A0FBB" w14:textId="77777777" w:rsidR="009E3063" w:rsidRDefault="00407135">
      <w:pPr>
        <w:pStyle w:val="Heading2"/>
      </w:pPr>
      <w:r>
        <w:t>11.2 Current proven package inventory</w:t>
      </w:r>
    </w:p>
    <w:tbl>
      <w:tblPr>
        <w:tblW w:w="0" w:type="auto"/>
        <w:tblLook w:val="04A0" w:firstRow="1" w:lastRow="0" w:firstColumn="1" w:lastColumn="0" w:noHBand="0" w:noVBand="1"/>
      </w:tblPr>
      <w:tblGrid>
        <w:gridCol w:w="9936"/>
      </w:tblGrid>
      <w:tr w:rsidR="009E3063" w14:paraId="28A6F9F8" w14:textId="77777777">
        <w:tc>
          <w:tcPr>
            <w:tcW w:w="9936" w:type="dxa"/>
            <w:shd w:val="clear" w:color="auto" w:fill="F3F4F6"/>
            <w:tcMar>
              <w:top w:w="100" w:type="dxa"/>
              <w:left w:w="120" w:type="dxa"/>
              <w:bottom w:w="100" w:type="dxa"/>
              <w:right w:w="120" w:type="dxa"/>
            </w:tcMar>
          </w:tcPr>
          <w:p w14:paraId="3BEA5AB7" w14:textId="77777777" w:rsidR="009E3063" w:rsidRDefault="00407135">
            <w:pPr>
              <w:spacing w:after="0"/>
            </w:pPr>
            <w:r>
              <w:rPr>
                <w:rFonts w:ascii="Consolas" w:hAnsi="Consolas"/>
                <w:sz w:val="18"/>
              </w:rPr>
              <w:t>listening-room.html</w:t>
            </w:r>
            <w:r>
              <w:rPr>
                <w:rFonts w:ascii="Consolas" w:hAnsi="Consolas"/>
                <w:sz w:val="18"/>
              </w:rPr>
              <w:br/>
              <w:t xml:space="preserve">    requires → listening-room.css</w:t>
            </w:r>
            <w:r>
              <w:rPr>
                <w:rFonts w:ascii="Consolas" w:hAnsi="Consolas"/>
                <w:sz w:val="18"/>
              </w:rPr>
              <w:br/>
              <w:t xml:space="preserve">    requires → listening-room.js</w:t>
            </w:r>
            <w:r>
              <w:rPr>
                <w:rFonts w:ascii="Consolas" w:hAnsi="Consolas"/>
                <w:sz w:val="18"/>
              </w:rPr>
              <w:br/>
            </w:r>
            <w:r>
              <w:rPr>
                <w:rFonts w:ascii="Consolas" w:hAnsi="Consolas"/>
                <w:sz w:val="18"/>
              </w:rPr>
              <w:br/>
              <w:t>listening-room.css</w:t>
            </w:r>
            <w:r>
              <w:rPr>
                <w:rFonts w:ascii="Consolas" w:hAnsi="Consolas"/>
                <w:sz w:val="18"/>
              </w:rPr>
              <w:br/>
              <w:t xml:space="preserve">    requires → listening-room.svg</w:t>
            </w:r>
            <w:r>
              <w:rPr>
                <w:rFonts w:ascii="Consolas" w:hAnsi="Consolas"/>
                <w:sz w:val="18"/>
              </w:rPr>
              <w:br/>
            </w:r>
            <w:r>
              <w:rPr>
                <w:rFonts w:ascii="Consolas" w:hAnsi="Consolas"/>
                <w:sz w:val="18"/>
              </w:rPr>
              <w:br/>
              <w:t>listening-room.js</w:t>
            </w:r>
            <w:r>
              <w:rPr>
                <w:rFonts w:ascii="Consolas" w:hAnsi="Consolas"/>
                <w:sz w:val="18"/>
              </w:rPr>
              <w:br/>
              <w:t xml:space="preserve">    browser dependency → Web Speech API / speechSynthesis</w:t>
            </w:r>
            <w:r>
              <w:rPr>
                <w:rFonts w:ascii="Consolas" w:hAnsi="Consolas"/>
                <w:sz w:val="18"/>
              </w:rPr>
              <w:br/>
            </w:r>
            <w:r>
              <w:rPr>
                <w:rFonts w:ascii="Consolas" w:hAnsi="Consolas"/>
                <w:sz w:val="18"/>
              </w:rPr>
              <w:br/>
            </w:r>
            <w:r>
              <w:rPr>
                <w:rFonts w:ascii="Consolas" w:hAnsi="Consolas"/>
                <w:sz w:val="18"/>
              </w:rPr>
              <w:lastRenderedPageBreak/>
              <w:t>listening-room.svg</w:t>
            </w:r>
            <w:r>
              <w:rPr>
                <w:rFonts w:ascii="Consolas" w:hAnsi="Consolas"/>
                <w:sz w:val="18"/>
              </w:rPr>
              <w:br/>
              <w:t xml:space="preserve">    environmental visual asset</w:t>
            </w:r>
          </w:p>
        </w:tc>
      </w:tr>
    </w:tbl>
    <w:p w14:paraId="28D0709E" w14:textId="77777777" w:rsidR="009E3063" w:rsidRDefault="00407135">
      <w:r>
        <w:lastRenderedPageBreak/>
        <w:t>Current audit found no external JavaScript framework, CSS framework, or external font dependency in the package. The current Russian audio is generated through the browser's speech synthesis capability rather than local audio files.</w:t>
      </w:r>
    </w:p>
    <w:p w14:paraId="5F7D28DA" w14:textId="77777777" w:rsidR="009E3063" w:rsidRDefault="00407135">
      <w:pPr>
        <w:pStyle w:val="Heading2"/>
      </w:pPr>
      <w:r>
        <w:t>11.3 Reusable Listening Room architecture</w:t>
      </w:r>
    </w:p>
    <w:p w14:paraId="5F9509A9" w14:textId="77777777" w:rsidR="009E3063" w:rsidRDefault="00407135">
      <w:pPr>
        <w:pStyle w:val="ListBullet"/>
        <w:spacing w:after="40"/>
      </w:pPr>
      <w:r>
        <w:t>Environmental visual identity and room treatment.</w:t>
      </w:r>
    </w:p>
    <w:p w14:paraId="73A089C2" w14:textId="77777777" w:rsidR="009E3063" w:rsidRDefault="00407135">
      <w:pPr>
        <w:pStyle w:val="ListBullet"/>
        <w:spacing w:after="40"/>
      </w:pPr>
      <w:r>
        <w:t>Landing/entry treatment.</w:t>
      </w:r>
    </w:p>
    <w:p w14:paraId="70D1D0DC" w14:textId="77777777" w:rsidR="009E3063" w:rsidRDefault="00407135">
      <w:pPr>
        <w:pStyle w:val="ListBullet"/>
        <w:spacing w:after="40"/>
      </w:pPr>
      <w:r>
        <w:t>HTML structural pattern.</w:t>
      </w:r>
    </w:p>
    <w:p w14:paraId="3C466BA7" w14:textId="77777777" w:rsidR="009E3063" w:rsidRDefault="00407135">
      <w:pPr>
        <w:pStyle w:val="ListBullet"/>
        <w:spacing w:after="40"/>
      </w:pPr>
      <w:r>
        <w:t>CSS layout, typography, spacing, responsive behavior, and states.</w:t>
      </w:r>
    </w:p>
    <w:p w14:paraId="749CB683" w14:textId="77777777" w:rsidR="009E3063" w:rsidRDefault="00407135">
      <w:pPr>
        <w:pStyle w:val="ListBullet"/>
        <w:spacing w:after="40"/>
      </w:pPr>
      <w:r>
        <w:t>Listening progression and audio-control architecture.</w:t>
      </w:r>
    </w:p>
    <w:p w14:paraId="3B12BF6B" w14:textId="77777777" w:rsidR="009E3063" w:rsidRDefault="00407135">
      <w:pPr>
        <w:pStyle w:val="ListBullet"/>
        <w:spacing w:after="40"/>
      </w:pPr>
      <w:r>
        <w:t>Progress and listening-state behavior.</w:t>
      </w:r>
    </w:p>
    <w:p w14:paraId="59464137" w14:textId="77777777" w:rsidR="009E3063" w:rsidRDefault="00407135">
      <w:pPr>
        <w:pStyle w:val="ListBullet"/>
        <w:spacing w:after="40"/>
      </w:pPr>
      <w:r>
        <w:t>Support/reveal system.</w:t>
      </w:r>
    </w:p>
    <w:p w14:paraId="7740B08C" w14:textId="77777777" w:rsidR="009E3063" w:rsidRDefault="00407135">
      <w:pPr>
        <w:pStyle w:val="ListBullet"/>
        <w:spacing w:after="40"/>
      </w:pPr>
      <w:r>
        <w:t>Teaching feedback patterns.</w:t>
      </w:r>
    </w:p>
    <w:p w14:paraId="07C1D556" w14:textId="77777777" w:rsidR="009E3063" w:rsidRDefault="00407135">
      <w:pPr>
        <w:pStyle w:val="ListBullet"/>
        <w:spacing w:after="40"/>
      </w:pPr>
      <w:r>
        <w:t>Reset/replay behavior.</w:t>
      </w:r>
    </w:p>
    <w:p w14:paraId="3221FC11" w14:textId="77777777" w:rsidR="009E3063" w:rsidRDefault="00407135">
      <w:pPr>
        <w:pStyle w:val="ListBullet"/>
        <w:spacing w:after="40"/>
      </w:pPr>
      <w:r>
        <w:t>Accessibility and keyboard behavior.</w:t>
      </w:r>
    </w:p>
    <w:p w14:paraId="5CCFD803" w14:textId="77777777" w:rsidR="009E3063" w:rsidRDefault="00407135">
      <w:pPr>
        <w:pStyle w:val="ListBullet"/>
        <w:spacing w:after="40"/>
      </w:pPr>
      <w:r>
        <w:t>JavaScript state-management structure.</w:t>
      </w:r>
    </w:p>
    <w:p w14:paraId="2C9EE201" w14:textId="77777777" w:rsidR="009E3063" w:rsidRDefault="00407135">
      <w:pPr>
        <w:pStyle w:val="Heading2"/>
      </w:pPr>
      <w:r>
        <w:t>11.4 Foundation-specific Listening Room content</w:t>
      </w:r>
    </w:p>
    <w:p w14:paraId="6650FDF4" w14:textId="77777777" w:rsidR="009E3063" w:rsidRDefault="00407135">
      <w:pPr>
        <w:pStyle w:val="ListBullet"/>
        <w:spacing w:after="40"/>
      </w:pPr>
      <w:r>
        <w:t>Russian listening content and sentences.</w:t>
      </w:r>
    </w:p>
    <w:p w14:paraId="4C2B5F51" w14:textId="77777777" w:rsidR="009E3063" w:rsidRDefault="00407135">
      <w:pPr>
        <w:pStyle w:val="ListBullet"/>
        <w:spacing w:after="40"/>
      </w:pPr>
      <w:r>
        <w:t>Topic-specific prompts and situations.</w:t>
      </w:r>
    </w:p>
    <w:p w14:paraId="36F492EC" w14:textId="77777777" w:rsidR="009E3063" w:rsidRDefault="00407135">
      <w:pPr>
        <w:pStyle w:val="ListBullet"/>
        <w:spacing w:after="40"/>
      </w:pPr>
      <w:r>
        <w:t>Catch words / recognition material.</w:t>
      </w:r>
    </w:p>
    <w:p w14:paraId="5FB5422C" w14:textId="77777777" w:rsidR="009E3063" w:rsidRDefault="00407135">
      <w:pPr>
        <w:pStyle w:val="ListBullet"/>
        <w:spacing w:after="40"/>
      </w:pPr>
      <w:r>
        <w:t>Meaning, inference, and response questions.</w:t>
      </w:r>
    </w:p>
    <w:p w14:paraId="47B8750A" w14:textId="77777777" w:rsidR="009E3063" w:rsidRDefault="00407135">
      <w:pPr>
        <w:pStyle w:val="ListBullet"/>
        <w:spacing w:after="40"/>
      </w:pPr>
      <w:r>
        <w:t>Answer choices and correct-response data.</w:t>
      </w:r>
    </w:p>
    <w:p w14:paraId="0A6EDF6C" w14:textId="77777777" w:rsidR="009E3063" w:rsidRDefault="00407135">
      <w:pPr>
        <w:pStyle w:val="ListBullet"/>
        <w:spacing w:after="40"/>
      </w:pPr>
      <w:r>
        <w:t>Support text and transcripts.</w:t>
      </w:r>
    </w:p>
    <w:p w14:paraId="5A7DDD18" w14:textId="77777777" w:rsidR="009E3063" w:rsidRDefault="00407135">
      <w:pPr>
        <w:pStyle w:val="ListBullet"/>
        <w:spacing w:after="40"/>
      </w:pPr>
      <w:r>
        <w:t>Number and sequence of encounters where instructional need warrants change.</w:t>
      </w:r>
    </w:p>
    <w:p w14:paraId="2997B7AA" w14:textId="77777777" w:rsidR="009E3063" w:rsidRDefault="00407135">
      <w:pPr>
        <w:pStyle w:val="ListBullet"/>
        <w:spacing w:after="40"/>
      </w:pPr>
      <w:r>
        <w:t>Foundation/topic labels.</w:t>
      </w:r>
    </w:p>
    <w:tbl>
      <w:tblPr>
        <w:tblW w:w="0" w:type="auto"/>
        <w:jc w:val="center"/>
        <w:tblLook w:val="04A0" w:firstRow="1" w:lastRow="0" w:firstColumn="1" w:lastColumn="0" w:noHBand="0" w:noVBand="1"/>
      </w:tblPr>
      <w:tblGrid>
        <w:gridCol w:w="9936"/>
      </w:tblGrid>
      <w:tr w:rsidR="009E3063" w14:paraId="500852D9" w14:textId="77777777">
        <w:trPr>
          <w:jc w:val="center"/>
        </w:trPr>
        <w:tc>
          <w:tcPr>
            <w:tcW w:w="9936" w:type="dxa"/>
            <w:shd w:val="clear" w:color="auto" w:fill="D9EAF7"/>
            <w:tcMar>
              <w:top w:w="120" w:type="dxa"/>
              <w:left w:w="140" w:type="dxa"/>
              <w:bottom w:w="120" w:type="dxa"/>
              <w:right w:w="140" w:type="dxa"/>
            </w:tcMar>
          </w:tcPr>
          <w:p w14:paraId="3C6DB559" w14:textId="77777777" w:rsidR="009E3063" w:rsidRDefault="00407135">
            <w:pPr>
              <w:spacing w:after="60"/>
            </w:pPr>
            <w:r>
              <w:rPr>
                <w:b/>
                <w:color w:val="17365D"/>
              </w:rPr>
              <w:t>Listening Room principle</w:t>
            </w:r>
          </w:p>
          <w:p w14:paraId="57D2E0D6" w14:textId="77777777" w:rsidR="009E3063" w:rsidRDefault="00407135">
            <w:pPr>
              <w:spacing w:after="0"/>
            </w:pPr>
            <w:r>
              <w:t>Same room. Different reason to listen.</w:t>
            </w:r>
          </w:p>
        </w:tc>
      </w:tr>
    </w:tbl>
    <w:p w14:paraId="6A5F3841" w14:textId="77777777" w:rsidR="009E3063" w:rsidRDefault="00407135">
      <w:pPr>
        <w:pStyle w:val="Heading2"/>
      </w:pPr>
      <w:r>
        <w:t>11.5 Current first-reference content</w:t>
      </w:r>
    </w:p>
    <w:p w14:paraId="61FE0541" w14:textId="77777777" w:rsidR="009E3063" w:rsidRDefault="00407135">
      <w:r>
        <w:t>The current package contains six Days of the Week listening encounters. This Days content is useful as the first reference implementation, but it is not the definition of the reusable component. Future Foundation installations will replace the internal instructional content while preserving the proven room architecture.</w:t>
      </w:r>
    </w:p>
    <w:p w14:paraId="691C812D" w14:textId="77777777" w:rsidR="009E3063" w:rsidRDefault="00407135">
      <w:pPr>
        <w:pStyle w:val="Heading2"/>
      </w:pPr>
      <w:r>
        <w:t>11.6 First installation target</w:t>
      </w:r>
    </w:p>
    <w:p w14:paraId="05949124" w14:textId="77777777" w:rsidR="009E3063" w:rsidRDefault="00407135">
      <w:r>
        <w:t>Days of the Week will receive the first controlled installation after its production Foundation HTML/CSS/JavaScript exists. The exact migration procedure will be captured during that installation rather than invented beforehand.</w:t>
      </w:r>
    </w:p>
    <w:p w14:paraId="2F90B3DF" w14:textId="77777777" w:rsidR="009E3063" w:rsidRDefault="00407135">
      <w:pPr>
        <w:pStyle w:val="Heading2"/>
      </w:pPr>
      <w:r>
        <w:t>11.7 Second cloneability target</w:t>
      </w:r>
    </w:p>
    <w:p w14:paraId="5D5148C7" w14:textId="77777777" w:rsidR="009E3063" w:rsidRDefault="00407135">
      <w:r>
        <w:t>Family Relationships is a likely second proof. It already contains substantial content and working cloned G&amp;I Foundation architecture. Following the same Listening Room installation procedure there will test whether the instructions and package are genuinely repeatable.</w:t>
      </w:r>
    </w:p>
    <w:p w14:paraId="1261E12C" w14:textId="77777777" w:rsidR="009E3063" w:rsidRDefault="00407135">
      <w:pPr>
        <w:pStyle w:val="Heading1"/>
      </w:pPr>
      <w:r>
        <w:lastRenderedPageBreak/>
        <w:t>12. Future Candidate Packages</w:t>
      </w:r>
    </w:p>
    <w:p w14:paraId="50081785" w14:textId="77777777" w:rsidR="009E3063" w:rsidRDefault="00407135">
      <w:pPr>
        <w:pStyle w:val="Heading2"/>
      </w:pPr>
      <w:r>
        <w:t>12.1 The Four Doors / Doors Thingy™</w:t>
      </w:r>
    </w:p>
    <w:p w14:paraId="617B2E8B" w14:textId="77777777" w:rsidR="009E3063" w:rsidRDefault="00407135">
      <w:r>
        <w:t>Explicitly planned for the same reusable-component process. Candidate shared responsibilities include threshold/entrance, door-selection framework, visual identity, open/close/return behavior, state management, accessibility, responsive behavior, and integration pattern. Each Foundation supplies Door-specific instructional content and interaction logic.</w:t>
      </w:r>
    </w:p>
    <w:p w14:paraId="4DB5738C" w14:textId="77777777" w:rsidR="009E3063" w:rsidRDefault="00407135">
      <w:pPr>
        <w:pStyle w:val="Heading2"/>
      </w:pPr>
      <w:r>
        <w:t>12.2 Mini-World</w:t>
      </w:r>
    </w:p>
    <w:p w14:paraId="451E8EA9" w14:textId="77777777" w:rsidR="009E3063" w:rsidRDefault="00407135">
      <w:r>
        <w:t>Strong candidate because it has a distinct instructional job: the learner enters a responsive system, manipulates or decides, and causes something to happen. It should not be forced into the same mechanics as the Listening Room or Doors.</w:t>
      </w:r>
    </w:p>
    <w:p w14:paraId="4053CA34" w14:textId="77777777" w:rsidR="009E3063" w:rsidRDefault="00407135">
      <w:pPr>
        <w:pStyle w:val="Heading2"/>
      </w:pPr>
      <w:r>
        <w:t>12.3 Grammar Candy / Interactive Grammar Visuals</w:t>
      </w:r>
    </w:p>
    <w:p w14:paraId="6980FA70" w14:textId="77777777" w:rsidR="009E3063" w:rsidRDefault="00407135">
      <w:r>
        <w:t>Grammar Candy already has a reusable identity across Foundations, but it is not yet proven that one self-contained package can serve its varied grammar discoveries. It may eventually become a component framework rather than one cloned package.</w:t>
      </w:r>
    </w:p>
    <w:p w14:paraId="14149AD1" w14:textId="77777777" w:rsidR="009E3063" w:rsidRDefault="00407135">
      <w:pPr>
        <w:pStyle w:val="Heading2"/>
      </w:pPr>
      <w:r>
        <w:t>12.4 Future Family Relationships candidate</w:t>
      </w:r>
    </w:p>
    <w:p w14:paraId="75840EA0" w14:textId="77777777" w:rsidR="009E3063" w:rsidRDefault="00407135">
      <w:r>
        <w:t>Michael is currently developing a Family Relationships feature that may become a Portable Component Package candidate. Do not classify it prematurely. Evaluate it when its purpose, state, boundaries, and reuse potential are visible in the actual build.</w:t>
      </w:r>
    </w:p>
    <w:p w14:paraId="663213FF" w14:textId="77777777" w:rsidR="009E3063" w:rsidRDefault="00407135">
      <w:pPr>
        <w:pStyle w:val="Heading1"/>
      </w:pPr>
      <w:r>
        <w:t>13. Evolution and Versioning Principles</w:t>
      </w:r>
    </w:p>
    <w:p w14:paraId="2A3611DA" w14:textId="77777777" w:rsidR="009E3063" w:rsidRDefault="00407135">
      <w:pPr>
        <w:pStyle w:val="ListBullet"/>
        <w:spacing w:after="40"/>
      </w:pPr>
      <w:r>
        <w:t>Do not freeze the first implementation merely because it was first.</w:t>
      </w:r>
    </w:p>
    <w:p w14:paraId="7757A777" w14:textId="77777777" w:rsidR="009E3063" w:rsidRDefault="00407135">
      <w:pPr>
        <w:pStyle w:val="ListBullet"/>
        <w:spacing w:after="40"/>
      </w:pPr>
      <w:r>
        <w:t>Do not silently overwrite meaningful architecture changes; record why the package evolved.</w:t>
      </w:r>
    </w:p>
    <w:p w14:paraId="78C0872C" w14:textId="77777777" w:rsidR="009E3063" w:rsidRDefault="00407135">
      <w:pPr>
        <w:pStyle w:val="ListBullet"/>
        <w:spacing w:after="40"/>
      </w:pPr>
      <w:r>
        <w:t>Later Foundations may reveal better reusable architecture.</w:t>
      </w:r>
    </w:p>
    <w:p w14:paraId="0D0EA86F" w14:textId="77777777" w:rsidR="009E3063" w:rsidRDefault="00407135">
      <w:pPr>
        <w:pStyle w:val="ListBullet"/>
        <w:spacing w:after="40"/>
      </w:pPr>
      <w:r>
        <w:t>Prove improvements before propagating them backward.</w:t>
      </w:r>
    </w:p>
    <w:p w14:paraId="06607123" w14:textId="77777777" w:rsidR="009E3063" w:rsidRDefault="00407135">
      <w:pPr>
        <w:pStyle w:val="ListBullet"/>
        <w:spacing w:after="40"/>
      </w:pPr>
      <w:r>
        <w:t>Keep one clear source of truth for each active component package.</w:t>
      </w:r>
    </w:p>
    <w:p w14:paraId="3CE0F1C7" w14:textId="77777777" w:rsidR="009E3063" w:rsidRDefault="00407135">
      <w:pPr>
        <w:pStyle w:val="ListBullet"/>
        <w:spacing w:after="40"/>
      </w:pPr>
      <w:r>
        <w:t>Prefer Git history and commits over duplicate backup variants.</w:t>
      </w:r>
    </w:p>
    <w:p w14:paraId="1CA843A0" w14:textId="77777777" w:rsidR="009E3063" w:rsidRDefault="00407135">
      <w:pPr>
        <w:pStyle w:val="ListBullet"/>
        <w:spacing w:after="40"/>
      </w:pPr>
      <w:r>
        <w:t>A component-specific implementation record may live inside this master source document rather than competing with a separate overlapping master guide.</w:t>
      </w:r>
    </w:p>
    <w:p w14:paraId="7E370CEA" w14:textId="77777777" w:rsidR="009E3063" w:rsidRDefault="00407135">
      <w:pPr>
        <w:pStyle w:val="Heading2"/>
      </w:pPr>
      <w:r>
        <w:t>13.1 Relationship to the existing Listening Room Implementation Guide</w:t>
      </w:r>
    </w:p>
    <w:p w14:paraId="20F76B44" w14:textId="77777777" w:rsidR="009E3063" w:rsidRDefault="00407135">
      <w:r>
        <w:t>The existing Listening Room Implementation Guide is the source from which the Listening Room-specific architecture in this document is being consolidated. Do not discard that guide until this merged source document has been reviewed and confirmed to preserve its meaningful content. After verification, this document may supersede the standalone guide as the master source of truth while retaining the Listening Room as its first component implementation record.</w:t>
      </w:r>
    </w:p>
    <w:p w14:paraId="4EDAC5BA" w14:textId="77777777" w:rsidR="009E3063" w:rsidRDefault="00407135">
      <w:pPr>
        <w:pStyle w:val="Heading1"/>
      </w:pPr>
      <w:r>
        <w:t>14. Interview / Development-History Moments</w:t>
      </w:r>
    </w:p>
    <w:p w14:paraId="39E048FD" w14:textId="77777777" w:rsidR="009E3063" w:rsidRDefault="00407135">
      <w:pPr>
        <w:pStyle w:val="Heading2"/>
      </w:pPr>
      <w:r>
        <w:t>14.1 Self-containment moved from theory to evidence</w:t>
      </w:r>
    </w:p>
    <w:p w14:paraId="6C5CD245" w14:textId="77777777" w:rsidR="009E3063" w:rsidRDefault="00407135">
      <w:r>
        <w:t>The Listening Room was deliberately separated from Days of the Week and built as a self-contained experience. When the independent package worked, the project gained evidence that a substantial instructional feature could own its own architecture and later travel into a Foundation.</w:t>
      </w:r>
    </w:p>
    <w:p w14:paraId="3FFBA265" w14:textId="77777777" w:rsidR="009E3063" w:rsidRDefault="00407135">
      <w:pPr>
        <w:pStyle w:val="Heading2"/>
      </w:pPr>
      <w:r>
        <w:lastRenderedPageBreak/>
        <w:t>14.2 Architecture emerged from building</w:t>
      </w:r>
    </w:p>
    <w:p w14:paraId="3391C3F3" w14:textId="77777777" w:rsidR="009E3063" w:rsidRDefault="00407135">
      <w:r>
        <w:t>Portable Component Packages were not imposed as an abstract software pattern at project start. The architecture emerged from a real instructional-design problem, a working prototype, debugging experience, and reflection about how to reuse the result without recreating it.</w:t>
      </w:r>
    </w:p>
    <w:p w14:paraId="7A171126" w14:textId="77777777" w:rsidR="009E3063" w:rsidRDefault="00407135">
      <w:pPr>
        <w:pStyle w:val="Heading2"/>
      </w:pPr>
      <w:r>
        <w:t>14.3 Cloneability requires documentation</w:t>
      </w:r>
    </w:p>
    <w:p w14:paraId="61F9D0C5" w14:textId="77777777" w:rsidR="009E3063" w:rsidRDefault="00407135">
      <w:r>
        <w:t>The project recognized that reusable code without a repeatable installation procedure is not enough. The instructions are part of the component architecture. A future developer should be able to integrate a package from the documented process rather than from memory.</w:t>
      </w:r>
    </w:p>
    <w:p w14:paraId="47CAFA0C" w14:textId="77777777" w:rsidR="009E3063" w:rsidRDefault="00407135">
      <w:pPr>
        <w:pStyle w:val="Heading2"/>
      </w:pPr>
      <w:r>
        <w:t>14.4 Two layers of reuse became visible</w:t>
      </w:r>
    </w:p>
    <w:p w14:paraId="50E76817" w14:textId="77777777" w:rsidR="009E3063" w:rsidRDefault="00407135">
      <w:r>
        <w:t>Family Relationships demonstrated that a Foundation can inherit architecture from G&amp;I while changing its content. The Listening Room experiment then exposed a second layer: independently portable experience components can live inside those reusable Foundation shells.</w:t>
      </w:r>
    </w:p>
    <w:p w14:paraId="58910A01" w14:textId="77777777" w:rsidR="009E3063" w:rsidRDefault="00407135">
      <w:pPr>
        <w:pStyle w:val="Heading1"/>
      </w:pPr>
      <w:r>
        <w:t>15. Open Questions</w:t>
      </w:r>
    </w:p>
    <w:p w14:paraId="4F39A56C" w14:textId="77777777" w:rsidR="009E3063" w:rsidRDefault="00407135">
      <w:pPr>
        <w:pStyle w:val="ListBullet"/>
        <w:spacing w:after="40"/>
      </w:pPr>
      <w:r>
        <w:t>What permanent Components/ folder convention should every Foundation use once the first real installation is performed?</w:t>
      </w:r>
    </w:p>
    <w:p w14:paraId="718C1100" w14:textId="77777777" w:rsidR="009E3063" w:rsidRDefault="00407135">
      <w:pPr>
        <w:pStyle w:val="ListBullet"/>
        <w:spacing w:after="40"/>
      </w:pPr>
      <w:r>
        <w:t>Should a package remain a separate HTML page inside a Foundation, be embedded into the Foundation page, or support more than one integration mode?</w:t>
      </w:r>
    </w:p>
    <w:p w14:paraId="25751501" w14:textId="77777777" w:rsidR="009E3063" w:rsidRDefault="00407135">
      <w:pPr>
        <w:pStyle w:val="ListBullet"/>
        <w:spacing w:after="40"/>
      </w:pPr>
      <w:r>
        <w:t>What exact entry/exit contract should connect a Foundation to a portable component?</w:t>
      </w:r>
    </w:p>
    <w:p w14:paraId="17B37F56" w14:textId="77777777" w:rsidR="009E3063" w:rsidRDefault="00407135">
      <w:pPr>
        <w:pStyle w:val="ListBullet"/>
        <w:spacing w:after="40"/>
      </w:pPr>
      <w:r>
        <w:t>How should Foundation progress/completion state communicate with component completion state?</w:t>
      </w:r>
    </w:p>
    <w:p w14:paraId="5C28D404" w14:textId="77777777" w:rsidR="009E3063" w:rsidRDefault="00407135">
      <w:pPr>
        <w:pStyle w:val="ListBullet"/>
        <w:spacing w:after="40"/>
      </w:pPr>
      <w:r>
        <w:t>Which content should be data-driven versus directly edited in component JavaScript/HTML?</w:t>
      </w:r>
    </w:p>
    <w:p w14:paraId="255A8C20" w14:textId="77777777" w:rsidR="009E3063" w:rsidRDefault="00407135">
      <w:pPr>
        <w:pStyle w:val="ListBullet"/>
        <w:spacing w:after="40"/>
      </w:pPr>
      <w:r>
        <w:t>How should package version changes be propagated to Foundations that already contain an older clone?</w:t>
      </w:r>
    </w:p>
    <w:p w14:paraId="1DBE65F8" w14:textId="77777777" w:rsidR="009E3063" w:rsidRDefault="00407135">
      <w:pPr>
        <w:pStyle w:val="ListBullet"/>
        <w:spacing w:after="40"/>
      </w:pPr>
      <w:r>
        <w:t>What exact steps constitute the final installation procedure? (Answer from the Days integration, not speculation.)</w:t>
      </w:r>
    </w:p>
    <w:p w14:paraId="2C5A935E" w14:textId="77777777" w:rsidR="009E3063" w:rsidRDefault="00407135">
      <w:pPr>
        <w:pStyle w:val="ListBullet"/>
        <w:spacing w:after="40"/>
      </w:pPr>
      <w:r>
        <w:t>What minimum number of successful Foundation installations should be required before a package is considered mature?</w:t>
      </w:r>
    </w:p>
    <w:p w14:paraId="29D44070" w14:textId="77777777" w:rsidR="009E3063" w:rsidRDefault="009E3063"/>
    <w:tbl>
      <w:tblPr>
        <w:tblW w:w="0" w:type="auto"/>
        <w:jc w:val="center"/>
        <w:tblLook w:val="04A0" w:firstRow="1" w:lastRow="0" w:firstColumn="1" w:lastColumn="0" w:noHBand="0" w:noVBand="1"/>
      </w:tblPr>
      <w:tblGrid>
        <w:gridCol w:w="9936"/>
      </w:tblGrid>
      <w:tr w:rsidR="009E3063" w14:paraId="39154982" w14:textId="77777777">
        <w:trPr>
          <w:jc w:val="center"/>
        </w:trPr>
        <w:tc>
          <w:tcPr>
            <w:tcW w:w="9936" w:type="dxa"/>
            <w:shd w:val="clear" w:color="auto" w:fill="D9EAF7"/>
            <w:tcMar>
              <w:top w:w="120" w:type="dxa"/>
              <w:left w:w="140" w:type="dxa"/>
              <w:bottom w:w="120" w:type="dxa"/>
              <w:right w:w="140" w:type="dxa"/>
            </w:tcMar>
          </w:tcPr>
          <w:p w14:paraId="4EB8C082" w14:textId="77777777" w:rsidR="009E3063" w:rsidRDefault="00407135">
            <w:pPr>
              <w:spacing w:after="60"/>
            </w:pPr>
            <w:r>
              <w:rPr>
                <w:b/>
                <w:color w:val="17365D"/>
              </w:rPr>
              <w:t>Working rule for the next development phase</w:t>
            </w:r>
          </w:p>
          <w:p w14:paraId="20BE216E" w14:textId="77777777" w:rsidR="009E3063" w:rsidRDefault="00407135">
            <w:pPr>
              <w:spacing w:after="0"/>
            </w:pPr>
            <w:r>
              <w:t>Do not move the Listening Room into Days until Days exists as a receiving Foundation. When that moment arrives, perform the migration methodically and write the installation instructions from what actually happens.</w:t>
            </w:r>
          </w:p>
        </w:tc>
      </w:tr>
    </w:tbl>
    <w:p w14:paraId="00B1E42F" w14:textId="77777777" w:rsidR="00407135" w:rsidRDefault="00407135"/>
    <w:sectPr w:rsidR="00407135"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844284">
    <w:abstractNumId w:val="8"/>
  </w:num>
  <w:num w:numId="2" w16cid:durableId="689374576">
    <w:abstractNumId w:val="6"/>
  </w:num>
  <w:num w:numId="3" w16cid:durableId="1970160847">
    <w:abstractNumId w:val="5"/>
  </w:num>
  <w:num w:numId="4" w16cid:durableId="1745255811">
    <w:abstractNumId w:val="4"/>
  </w:num>
  <w:num w:numId="5" w16cid:durableId="1638074421">
    <w:abstractNumId w:val="7"/>
  </w:num>
  <w:num w:numId="6" w16cid:durableId="200486416">
    <w:abstractNumId w:val="3"/>
  </w:num>
  <w:num w:numId="7" w16cid:durableId="581989982">
    <w:abstractNumId w:val="2"/>
  </w:num>
  <w:num w:numId="8" w16cid:durableId="1117485031">
    <w:abstractNumId w:val="1"/>
  </w:num>
  <w:num w:numId="9" w16cid:durableId="450632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434E"/>
    <w:rsid w:val="00326F90"/>
    <w:rsid w:val="003747C5"/>
    <w:rsid w:val="00407135"/>
    <w:rsid w:val="00470738"/>
    <w:rsid w:val="007C20AC"/>
    <w:rsid w:val="009E30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167C7"/>
  <w14:defaultImageDpi w14:val="300"/>
  <w15:docId w15:val="{D6C49F6E-EFFF-4374-99FF-3E525F638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2975</Words>
  <Characters>16961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Smith</cp:lastModifiedBy>
  <cp:revision>3</cp:revision>
  <dcterms:created xsi:type="dcterms:W3CDTF">2026-09-06T21:01:00Z</dcterms:created>
  <dcterms:modified xsi:type="dcterms:W3CDTF">2026-09-06T21:06:00Z</dcterms:modified>
  <cp:category/>
</cp:coreProperties>
</file>