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003366"/>
          <w:sz w:val="20"/>
        </w:rPr>
        <w:t>DUOC UC  |  MALETA DIDÁCTICA</w:t>
        <w:br/>
        <w:t>Escuela de Informática y Telecomunicaciones</w:t>
      </w:r>
    </w:p>
    <w:p>
      <w:pPr>
        <w:spacing w:after="800"/>
      </w:pPr>
    </w:p>
    <w:p>
      <w:pPr>
        <w:jc w:val="left"/>
      </w:pPr>
      <w:r>
        <w:rPr>
          <w:rFonts w:ascii="Arial" w:hAnsi="Arial"/>
          <w:b/>
          <w:color w:val="003366"/>
          <w:sz w:val="48"/>
        </w:rPr>
        <w:t>ACTIVIDAD FORMATIVA 2</w:t>
        <w:br/>
      </w:r>
      <w:r>
        <w:rPr>
          <w:rFonts w:ascii="Arial" w:hAnsi="Arial"/>
          <w:color w:val="333333"/>
          <w:sz w:val="32"/>
        </w:rPr>
        <w:t>Creando Pruebas Unitarias y de Inspección de Código</w:t>
      </w:r>
    </w:p>
    <w:p>
      <w:pPr>
        <w:spacing w:after="1600"/>
      </w:pPr>
    </w:p>
    <w:tbl>
      <w:tblPr>
        <w:tblW w:type="auto" w:w="0"/>
        <w:jc w:val="center"/>
        <w:tblLayout w:type="fixed"/>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4680"/>
        <w:gridCol w:w="4680"/>
      </w:tblGrid>
      <w:tr>
        <w:tc>
          <w:tcPr>
            <w:tcW w:type="dxa" w:w="3168"/>
            <w:shd w:fill="F8F9FA"/>
            <w:tcMar>
              <w:top w:w="120" w:type="dxa"/>
              <w:bottom w:w="120" w:type="dxa"/>
              <w:left w:w="150" w:type="dxa"/>
              <w:right w:w="150" w:type="dxa"/>
            </w:tcMar>
          </w:tcPr>
          <w:p>
            <w:r>
              <w:rPr>
                <w:rFonts w:ascii="Arial" w:hAnsi="Arial"/>
                <w:b/>
                <w:color w:val="003366"/>
                <w:sz w:val="20"/>
              </w:rPr>
              <w:t>Asignatura:</w:t>
            </w:r>
          </w:p>
        </w:tc>
        <w:tc>
          <w:tcPr>
            <w:tcW w:type="dxa" w:w="6192"/>
            <w:tcMar>
              <w:top w:w="120" w:type="dxa"/>
              <w:bottom w:w="120" w:type="dxa"/>
              <w:left w:w="150" w:type="dxa"/>
              <w:right w:w="150" w:type="dxa"/>
            </w:tcMar>
          </w:tcPr>
          <w:p>
            <w:r>
              <w:rPr>
                <w:rFonts w:ascii="Arial" w:hAnsi="Arial"/>
                <w:color w:val="333333"/>
                <w:sz w:val="20"/>
              </w:rPr>
              <w:t>Técnicas de Calidad de Software (TCY0101)</w:t>
            </w:r>
          </w:p>
        </w:tc>
      </w:tr>
      <w:tr>
        <w:tc>
          <w:tcPr>
            <w:tcW w:type="dxa" w:w="3168"/>
            <w:shd w:fill="F8F9FA"/>
            <w:tcMar>
              <w:top w:w="120" w:type="dxa"/>
              <w:bottom w:w="120" w:type="dxa"/>
              <w:left w:w="150" w:type="dxa"/>
              <w:right w:w="150" w:type="dxa"/>
            </w:tcMar>
          </w:tcPr>
          <w:p>
            <w:r>
              <w:rPr>
                <w:rFonts w:ascii="Arial" w:hAnsi="Arial"/>
                <w:b/>
                <w:color w:val="003366"/>
                <w:sz w:val="20"/>
              </w:rPr>
              <w:t>Proyecto:</w:t>
            </w:r>
          </w:p>
        </w:tc>
        <w:tc>
          <w:tcPr>
            <w:tcW w:type="dxa" w:w="6192"/>
            <w:tcMar>
              <w:top w:w="120" w:type="dxa"/>
              <w:bottom w:w="120" w:type="dxa"/>
              <w:left w:w="150" w:type="dxa"/>
              <w:right w:w="150" w:type="dxa"/>
            </w:tcMar>
          </w:tcPr>
          <w:p>
            <w:r>
              <w:rPr>
                <w:rFonts w:ascii="Arial" w:hAnsi="Arial"/>
                <w:color w:val="333333"/>
                <w:sz w:val="20"/>
              </w:rPr>
              <w:t>Tienda MoAr (React + TypeScript + Vitest + ESLint)</w:t>
            </w:r>
          </w:p>
        </w:tc>
      </w:tr>
      <w:tr>
        <w:tc>
          <w:tcPr>
            <w:tcW w:type="dxa" w:w="3168"/>
            <w:shd w:fill="F8F9FA"/>
            <w:tcMar>
              <w:top w:w="120" w:type="dxa"/>
              <w:bottom w:w="120" w:type="dxa"/>
              <w:left w:w="150" w:type="dxa"/>
              <w:right w:w="150" w:type="dxa"/>
            </w:tcMar>
          </w:tcPr>
          <w:p>
            <w:r>
              <w:rPr>
                <w:rFonts w:ascii="Arial" w:hAnsi="Arial"/>
                <w:b/>
                <w:color w:val="003366"/>
                <w:sz w:val="20"/>
              </w:rPr>
              <w:t>Integrantes / Roles:</w:t>
            </w:r>
          </w:p>
        </w:tc>
        <w:tc>
          <w:tcPr>
            <w:tcW w:type="dxa" w:w="6192"/>
            <w:tcMar>
              <w:top w:w="120" w:type="dxa"/>
              <w:bottom w:w="120" w:type="dxa"/>
              <w:left w:w="150" w:type="dxa"/>
              <w:right w:w="150" w:type="dxa"/>
            </w:tcMar>
          </w:tcPr>
          <w:p>
            <w:r>
              <w:rPr>
                <w:rFonts w:ascii="Arial" w:hAnsi="Arial"/>
                <w:color w:val="333333"/>
                <w:sz w:val="20"/>
              </w:rPr>
              <w:t>Nicolas Iturrieta (Analista QA)</w:t>
              <w:br/>
              <w:t>Miguel Arredondo (Jefe de Proyecto QA)</w:t>
            </w:r>
          </w:p>
        </w:tc>
      </w:tr>
      <w:tr>
        <w:tc>
          <w:tcPr>
            <w:tcW w:type="dxa" w:w="3168"/>
            <w:shd w:fill="F8F9FA"/>
            <w:tcMar>
              <w:top w:w="120" w:type="dxa"/>
              <w:bottom w:w="120" w:type="dxa"/>
              <w:left w:w="150" w:type="dxa"/>
              <w:right w:w="150" w:type="dxa"/>
            </w:tcMar>
          </w:tcPr>
          <w:p>
            <w:r>
              <w:rPr>
                <w:rFonts w:ascii="Arial" w:hAnsi="Arial"/>
                <w:b/>
                <w:color w:val="003366"/>
                <w:sz w:val="20"/>
              </w:rPr>
              <w:t>Profesor:</w:t>
            </w:r>
          </w:p>
        </w:tc>
        <w:tc>
          <w:tcPr>
            <w:tcW w:type="dxa" w:w="6192"/>
            <w:tcMar>
              <w:top w:w="120" w:type="dxa"/>
              <w:bottom w:w="120" w:type="dxa"/>
              <w:left w:w="150" w:type="dxa"/>
              <w:right w:w="150" w:type="dxa"/>
            </w:tcMar>
          </w:tcPr>
          <w:p>
            <w:r>
              <w:rPr>
                <w:rFonts w:ascii="Arial" w:hAnsi="Arial"/>
                <w:color w:val="333333"/>
                <w:sz w:val="20"/>
              </w:rPr>
              <w:t>Christian Álvarez Lobos</w:t>
            </w:r>
          </w:p>
        </w:tc>
      </w:tr>
      <w:tr>
        <w:tc>
          <w:tcPr>
            <w:tcW w:type="dxa" w:w="3168"/>
            <w:shd w:fill="F8F9FA"/>
            <w:tcMar>
              <w:top w:w="120" w:type="dxa"/>
              <w:bottom w:w="120" w:type="dxa"/>
              <w:left w:w="150" w:type="dxa"/>
              <w:right w:w="150" w:type="dxa"/>
            </w:tcMar>
          </w:tcPr>
          <w:p>
            <w:r>
              <w:rPr>
                <w:rFonts w:ascii="Arial" w:hAnsi="Arial"/>
                <w:b/>
                <w:color w:val="003366"/>
                <w:sz w:val="20"/>
              </w:rPr>
              <w:t>Fecha de Entrega:</w:t>
            </w:r>
          </w:p>
        </w:tc>
        <w:tc>
          <w:tcPr>
            <w:tcW w:type="dxa" w:w="6192"/>
            <w:tcMar>
              <w:top w:w="120" w:type="dxa"/>
              <w:bottom w:w="120" w:type="dxa"/>
              <w:left w:w="150" w:type="dxa"/>
              <w:right w:w="150" w:type="dxa"/>
            </w:tcMar>
          </w:tcPr>
          <w:p>
            <w:r>
              <w:rPr>
                <w:rFonts w:ascii="Arial" w:hAnsi="Arial"/>
                <w:color w:val="333333"/>
                <w:sz w:val="20"/>
              </w:rPr>
              <w:t>Septiembre 2026</w:t>
            </w:r>
          </w:p>
        </w:tc>
      </w:tr>
    </w:tbl>
    <w:p>
      <w:r>
        <w:br w:type="page"/>
      </w:r>
    </w:p>
    <w:p>
      <w:pPr>
        <w:pStyle w:val="Heading1"/>
      </w:pPr>
      <w:r>
        <w:rPr>
          <w:rFonts w:ascii="Arial" w:hAnsi="Arial"/>
          <w:color w:val="003366"/>
        </w:rPr>
        <w:t>1. Instrucciones Generales y Contexto</w:t>
      </w:r>
    </w:p>
    <w:p>
      <w:pPr>
        <w:spacing w:line="276" w:lineRule="auto" w:after="200"/>
      </w:pPr>
      <w:r>
        <w:t>Esta actividad tiene como finalidad configurar pruebas Unitarias y de Inspección de Código dentro de la aplicación web Tienda MoAr, apoyado en el material de la sesión y la guía del docente. El trabajo fue realizado en dupla, asumiendo los roles de Analista QA (Nicolas Iturrieta) y Jefe de Proyecto QA (Miguel Arredondo).</w:t>
        <w:br/>
        <w:br/>
        <w:t>El sistema Tienda MoAr es una plataforma de e-commerce tecnológica desarrollada en React, TypeScript y Vite. En el marco del Plan de Pruebas de la Parcial No. 1, se definió como punto crítico el cálculo automático de los subtotales y el total general del carrito de compras (Requerimiento Funcional RF14 / Caso de Prueba CP19).</w:t>
      </w:r>
    </w:p>
    <w:p>
      <w:pPr>
        <w:pStyle w:val="Heading1"/>
      </w:pPr>
      <w:r>
        <w:rPr>
          <w:rFonts w:ascii="Arial" w:hAnsi="Arial"/>
          <w:color w:val="003366"/>
        </w:rPr>
        <w:t>2. Parte I: Pruebas Unitarias (Caja Blanca)</w:t>
      </w:r>
    </w:p>
    <w:p>
      <w:pPr>
        <w:spacing w:line="276" w:lineRule="auto" w:after="200"/>
      </w:pPr>
      <w:r>
        <w:t>Se configuró e instaló el framework de pruebas unitarias Vitest (v4.0.14), el cual se integra de forma nativa con Vite y TypeScript. Se seleccionaron 4 guiones de prueba derivados del caso de prueba CP19 (RF14-1) documentado en el Plan de Pruebas Parcial 1, evaluando la función de negocio calcularSubtotal del módulo src/utils/cart.ts.</w:t>
      </w:r>
    </w:p>
    <w:p>
      <w:r>
        <w:rPr>
          <w:b/>
          <w:color w:val="003366"/>
        </w:rPr>
        <w:t>Tabla I: Registro y Resultados de Pruebas Unitarias (Caja Blanca)</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1337"/>
        <w:gridCol w:w="1337"/>
        <w:gridCol w:w="1337"/>
        <w:gridCol w:w="1337"/>
        <w:gridCol w:w="1337"/>
        <w:gridCol w:w="1337"/>
        <w:gridCol w:w="1337"/>
      </w:tblGrid>
      <w:tr>
        <w:tc>
          <w:tcPr>
            <w:tcW w:type="dxa" w:w="864"/>
            <w:shd w:fill="003366"/>
            <w:tcMar>
              <w:top w:w="120" w:type="dxa"/>
              <w:bottom w:w="120" w:type="dxa"/>
              <w:left w:w="100" w:type="dxa"/>
              <w:right w:w="100" w:type="dxa"/>
            </w:tcMar>
          </w:tcPr>
          <w:p>
            <w:pPr>
              <w:jc w:val="center"/>
            </w:pPr>
            <w:r>
              <w:rPr>
                <w:rFonts w:ascii="Arial" w:hAnsi="Arial"/>
                <w:b/>
                <w:color w:val="FFFFFF"/>
                <w:sz w:val="17"/>
              </w:rPr>
              <w:t>Id</w:t>
            </w:r>
          </w:p>
        </w:tc>
        <w:tc>
          <w:tcPr>
            <w:tcW w:type="dxa" w:w="1584"/>
            <w:shd w:fill="003366"/>
            <w:tcMar>
              <w:top w:w="120" w:type="dxa"/>
              <w:bottom w:w="120" w:type="dxa"/>
              <w:left w:w="100" w:type="dxa"/>
              <w:right w:w="100" w:type="dxa"/>
            </w:tcMar>
          </w:tcPr>
          <w:p>
            <w:pPr>
              <w:jc w:val="center"/>
            </w:pPr>
            <w:r>
              <w:rPr>
                <w:rFonts w:ascii="Arial" w:hAnsi="Arial"/>
                <w:b/>
                <w:color w:val="FFFFFF"/>
                <w:sz w:val="17"/>
              </w:rPr>
              <w:t>Caso de Prueba</w:t>
            </w:r>
          </w:p>
        </w:tc>
        <w:tc>
          <w:tcPr>
            <w:tcW w:type="dxa" w:w="1872"/>
            <w:shd w:fill="003366"/>
            <w:tcMar>
              <w:top w:w="120" w:type="dxa"/>
              <w:bottom w:w="120" w:type="dxa"/>
              <w:left w:w="100" w:type="dxa"/>
              <w:right w:w="100" w:type="dxa"/>
            </w:tcMar>
          </w:tcPr>
          <w:p>
            <w:pPr>
              <w:jc w:val="center"/>
            </w:pPr>
            <w:r>
              <w:rPr>
                <w:rFonts w:ascii="Arial" w:hAnsi="Arial"/>
                <w:b/>
                <w:color w:val="FFFFFF"/>
                <w:sz w:val="17"/>
              </w:rPr>
              <w:t>Descripción</w:t>
            </w:r>
          </w:p>
        </w:tc>
        <w:tc>
          <w:tcPr>
            <w:tcW w:type="dxa" w:w="1872"/>
            <w:shd w:fill="003366"/>
            <w:tcMar>
              <w:top w:w="120" w:type="dxa"/>
              <w:bottom w:w="120" w:type="dxa"/>
              <w:left w:w="100" w:type="dxa"/>
              <w:right w:w="100" w:type="dxa"/>
            </w:tcMar>
          </w:tcPr>
          <w:p>
            <w:pPr>
              <w:jc w:val="center"/>
            </w:pPr>
            <w:r>
              <w:rPr>
                <w:rFonts w:ascii="Arial" w:hAnsi="Arial"/>
                <w:b/>
                <w:color w:val="FFFFFF"/>
                <w:sz w:val="17"/>
              </w:rPr>
              <w:t>Datos / Acciones de Entrada</w:t>
            </w:r>
          </w:p>
        </w:tc>
        <w:tc>
          <w:tcPr>
            <w:tcW w:type="dxa" w:w="1152"/>
            <w:shd w:fill="003366"/>
            <w:tcMar>
              <w:top w:w="120" w:type="dxa"/>
              <w:bottom w:w="120" w:type="dxa"/>
              <w:left w:w="100" w:type="dxa"/>
              <w:right w:w="100" w:type="dxa"/>
            </w:tcMar>
          </w:tcPr>
          <w:p>
            <w:pPr>
              <w:jc w:val="center"/>
            </w:pPr>
            <w:r>
              <w:rPr>
                <w:rFonts w:ascii="Arial" w:hAnsi="Arial"/>
                <w:b/>
                <w:color w:val="FFFFFF"/>
                <w:sz w:val="17"/>
              </w:rPr>
              <w:t>Resultado Esperado</w:t>
            </w:r>
          </w:p>
        </w:tc>
        <w:tc>
          <w:tcPr>
            <w:tcW w:type="dxa" w:w="1152"/>
            <w:shd w:fill="003366"/>
            <w:tcMar>
              <w:top w:w="120" w:type="dxa"/>
              <w:bottom w:w="120" w:type="dxa"/>
              <w:left w:w="100" w:type="dxa"/>
              <w:right w:w="100" w:type="dxa"/>
            </w:tcMar>
          </w:tcPr>
          <w:p>
            <w:pPr>
              <w:jc w:val="center"/>
            </w:pPr>
            <w:r>
              <w:rPr>
                <w:rFonts w:ascii="Arial" w:hAnsi="Arial"/>
                <w:b/>
                <w:color w:val="FFFFFF"/>
                <w:sz w:val="17"/>
              </w:rPr>
              <w:t>Resultado Obtenido</w:t>
            </w:r>
          </w:p>
        </w:tc>
        <w:tc>
          <w:tcPr>
            <w:tcW w:type="dxa" w:w="1584"/>
            <w:shd w:fill="003366"/>
            <w:tcMar>
              <w:top w:w="120" w:type="dxa"/>
              <w:bottom w:w="120" w:type="dxa"/>
              <w:left w:w="100" w:type="dxa"/>
              <w:right w:w="100" w:type="dxa"/>
            </w:tcMar>
          </w:tcPr>
          <w:p>
            <w:pPr>
              <w:jc w:val="center"/>
            </w:pPr>
            <w:r>
              <w:rPr>
                <w:rFonts w:ascii="Arial" w:hAnsi="Arial"/>
                <w:b/>
                <w:color w:val="FFFFFF"/>
                <w:sz w:val="17"/>
              </w:rPr>
              <w:t>Observaciones y Evidencia</w:t>
            </w:r>
          </w:p>
        </w:tc>
      </w:tr>
      <w:tr>
        <w:tc>
          <w:tcPr>
            <w:tcW w:type="dxa" w:w="864"/>
            <w:shd w:fill="FFFFFF"/>
            <w:tcMar>
              <w:top w:w="100" w:type="dxa"/>
              <w:bottom w:w="100" w:type="dxa"/>
              <w:left w:w="80" w:type="dxa"/>
              <w:right w:w="80" w:type="dxa"/>
            </w:tcMar>
          </w:tcPr>
          <w:p>
            <w:pPr>
              <w:jc w:val="center"/>
            </w:pPr>
            <w:r>
              <w:rPr>
                <w:rFonts w:ascii="Arial" w:hAnsi="Arial"/>
                <w:color w:val="333333"/>
                <w:sz w:val="16"/>
              </w:rPr>
              <w:t>CP19-1</w:t>
            </w:r>
          </w:p>
        </w:tc>
        <w:tc>
          <w:tcPr>
            <w:tcW w:type="dxa" w:w="1584"/>
            <w:shd w:fill="FFFFFF"/>
            <w:tcMar>
              <w:top w:w="100" w:type="dxa"/>
              <w:bottom w:w="100" w:type="dxa"/>
              <w:left w:w="80" w:type="dxa"/>
              <w:right w:w="80" w:type="dxa"/>
            </w:tcMar>
          </w:tcPr>
          <w:p>
            <w:pPr>
              <w:jc w:val="left"/>
            </w:pPr>
            <w:r>
              <w:rPr>
                <w:rFonts w:ascii="Arial" w:hAnsi="Arial"/>
                <w:color w:val="333333"/>
                <w:sz w:val="16"/>
              </w:rPr>
              <w:t>Carrito Vacío</w:t>
            </w:r>
          </w:p>
        </w:tc>
        <w:tc>
          <w:tcPr>
            <w:tcW w:type="dxa" w:w="1872"/>
            <w:shd w:fill="FFFFFF"/>
            <w:tcMar>
              <w:top w:w="100" w:type="dxa"/>
              <w:bottom w:w="100" w:type="dxa"/>
              <w:left w:w="80" w:type="dxa"/>
              <w:right w:w="80" w:type="dxa"/>
            </w:tcMar>
          </w:tcPr>
          <w:p>
            <w:pPr>
              <w:jc w:val="left"/>
            </w:pPr>
            <w:r>
              <w:rPr>
                <w:rFonts w:ascii="Arial" w:hAnsi="Arial"/>
                <w:color w:val="333333"/>
                <w:sz w:val="16"/>
              </w:rPr>
              <w:t>Verificar cálculo con arreglo vacío (RF14-1).</w:t>
            </w:r>
          </w:p>
        </w:tc>
        <w:tc>
          <w:tcPr>
            <w:tcW w:type="dxa" w:w="1872"/>
            <w:shd w:fill="FFFFFF"/>
            <w:tcMar>
              <w:top w:w="100" w:type="dxa"/>
              <w:bottom w:w="100" w:type="dxa"/>
              <w:left w:w="80" w:type="dxa"/>
              <w:right w:w="80" w:type="dxa"/>
            </w:tcMar>
          </w:tcPr>
          <w:p>
            <w:pPr>
              <w:jc w:val="left"/>
            </w:pPr>
            <w:r>
              <w:rPr>
                <w:rFonts w:ascii="Arial" w:hAnsi="Arial"/>
                <w:color w:val="333333"/>
                <w:sz w:val="16"/>
              </w:rPr>
              <w:t>lines = []</w:t>
            </w:r>
          </w:p>
        </w:tc>
        <w:tc>
          <w:tcPr>
            <w:tcW w:type="dxa" w:w="1152"/>
            <w:shd w:fill="FFFFFF"/>
            <w:tcMar>
              <w:top w:w="100" w:type="dxa"/>
              <w:bottom w:w="100" w:type="dxa"/>
              <w:left w:w="80" w:type="dxa"/>
              <w:right w:w="80" w:type="dxa"/>
            </w:tcMar>
          </w:tcPr>
          <w:p>
            <w:pPr>
              <w:jc w:val="center"/>
            </w:pPr>
            <w:r>
              <w:rPr>
                <w:rFonts w:ascii="Arial" w:hAnsi="Arial"/>
                <w:color w:val="333333"/>
                <w:sz w:val="16"/>
              </w:rPr>
              <w:t>0</w:t>
            </w:r>
          </w:p>
        </w:tc>
        <w:tc>
          <w:tcPr>
            <w:tcW w:type="dxa" w:w="1152"/>
            <w:shd w:fill="FFFFFF"/>
            <w:tcMar>
              <w:top w:w="100" w:type="dxa"/>
              <w:bottom w:w="100" w:type="dxa"/>
              <w:left w:w="80" w:type="dxa"/>
              <w:right w:w="80" w:type="dxa"/>
            </w:tcMar>
          </w:tcPr>
          <w:p>
            <w:pPr>
              <w:jc w:val="center"/>
            </w:pPr>
            <w:r>
              <w:rPr>
                <w:rFonts w:ascii="Arial" w:hAnsi="Arial"/>
                <w:color w:val="333333"/>
                <w:sz w:val="16"/>
              </w:rPr>
              <w:t>0</w:t>
            </w:r>
          </w:p>
        </w:tc>
        <w:tc>
          <w:tcPr>
            <w:tcW w:type="dxa" w:w="1584"/>
            <w:shd w:fill="FFFFFF"/>
            <w:tcMar>
              <w:top w:w="100" w:type="dxa"/>
              <w:bottom w:w="100" w:type="dxa"/>
              <w:left w:w="80" w:type="dxa"/>
              <w:right w:w="80" w:type="dxa"/>
            </w:tcMar>
          </w:tcPr>
          <w:p>
            <w:pPr>
              <w:jc w:val="left"/>
            </w:pPr>
            <w:r>
              <w:rPr>
                <w:rFonts w:ascii="Arial" w:hAnsi="Arial"/>
                <w:color w:val="333333"/>
                <w:sz w:val="16"/>
              </w:rPr>
              <w:t>Aprobado (0ms) - ✓ Vitest</w:t>
            </w:r>
          </w:p>
        </w:tc>
      </w:tr>
      <w:tr>
        <w:tc>
          <w:tcPr>
            <w:tcW w:type="dxa" w:w="864"/>
            <w:shd w:fill="F2F4F7"/>
            <w:tcMar>
              <w:top w:w="100" w:type="dxa"/>
              <w:bottom w:w="100" w:type="dxa"/>
              <w:left w:w="80" w:type="dxa"/>
              <w:right w:w="80" w:type="dxa"/>
            </w:tcMar>
          </w:tcPr>
          <w:p>
            <w:pPr>
              <w:jc w:val="center"/>
            </w:pPr>
            <w:r>
              <w:rPr>
                <w:rFonts w:ascii="Arial" w:hAnsi="Arial"/>
                <w:color w:val="333333"/>
                <w:sz w:val="16"/>
              </w:rPr>
              <w:t>CP19-2</w:t>
            </w:r>
          </w:p>
        </w:tc>
        <w:tc>
          <w:tcPr>
            <w:tcW w:type="dxa" w:w="1584"/>
            <w:shd w:fill="F2F4F7"/>
            <w:tcMar>
              <w:top w:w="100" w:type="dxa"/>
              <w:bottom w:w="100" w:type="dxa"/>
              <w:left w:w="80" w:type="dxa"/>
              <w:right w:w="80" w:type="dxa"/>
            </w:tcMar>
          </w:tcPr>
          <w:p>
            <w:pPr>
              <w:jc w:val="left"/>
            </w:pPr>
            <w:r>
              <w:rPr>
                <w:rFonts w:ascii="Arial" w:hAnsi="Arial"/>
                <w:color w:val="333333"/>
                <w:sz w:val="16"/>
              </w:rPr>
              <w:t>Línea Única</w:t>
            </w:r>
          </w:p>
        </w:tc>
        <w:tc>
          <w:tcPr>
            <w:tcW w:type="dxa" w:w="1872"/>
            <w:shd w:fill="F2F4F7"/>
            <w:tcMar>
              <w:top w:w="100" w:type="dxa"/>
              <w:bottom w:w="100" w:type="dxa"/>
              <w:left w:w="80" w:type="dxa"/>
              <w:right w:w="80" w:type="dxa"/>
            </w:tcMar>
          </w:tcPr>
          <w:p>
            <w:pPr>
              <w:jc w:val="left"/>
            </w:pPr>
            <w:r>
              <w:rPr>
                <w:rFonts w:ascii="Arial" w:hAnsi="Arial"/>
                <w:color w:val="333333"/>
                <w:sz w:val="16"/>
              </w:rPr>
              <w:t>Validar multiplicación precio * cantidad (RF14-1).</w:t>
            </w:r>
          </w:p>
        </w:tc>
        <w:tc>
          <w:tcPr>
            <w:tcW w:type="dxa" w:w="1872"/>
            <w:shd w:fill="F2F4F7"/>
            <w:tcMar>
              <w:top w:w="100" w:type="dxa"/>
              <w:bottom w:w="100" w:type="dxa"/>
              <w:left w:w="80" w:type="dxa"/>
              <w:right w:w="80" w:type="dxa"/>
            </w:tcMar>
          </w:tcPr>
          <w:p>
            <w:pPr>
              <w:jc w:val="left"/>
            </w:pPr>
            <w:r>
              <w:rPr>
                <w:rFonts w:ascii="Arial" w:hAnsi="Arial"/>
                <w:color w:val="333333"/>
                <w:sz w:val="16"/>
              </w:rPr>
              <w:t>lines = [{precioUnitario: 1000, cantidad: 3}]</w:t>
            </w:r>
          </w:p>
        </w:tc>
        <w:tc>
          <w:tcPr>
            <w:tcW w:type="dxa" w:w="1152"/>
            <w:shd w:fill="F2F4F7"/>
            <w:tcMar>
              <w:top w:w="100" w:type="dxa"/>
              <w:bottom w:w="100" w:type="dxa"/>
              <w:left w:w="80" w:type="dxa"/>
              <w:right w:w="80" w:type="dxa"/>
            </w:tcMar>
          </w:tcPr>
          <w:p>
            <w:pPr>
              <w:jc w:val="center"/>
            </w:pPr>
            <w:r>
              <w:rPr>
                <w:rFonts w:ascii="Arial" w:hAnsi="Arial"/>
                <w:color w:val="333333"/>
                <w:sz w:val="16"/>
              </w:rPr>
              <w:t>3000</w:t>
            </w:r>
          </w:p>
        </w:tc>
        <w:tc>
          <w:tcPr>
            <w:tcW w:type="dxa" w:w="1152"/>
            <w:shd w:fill="F2F4F7"/>
            <w:tcMar>
              <w:top w:w="100" w:type="dxa"/>
              <w:bottom w:w="100" w:type="dxa"/>
              <w:left w:w="80" w:type="dxa"/>
              <w:right w:w="80" w:type="dxa"/>
            </w:tcMar>
          </w:tcPr>
          <w:p>
            <w:pPr>
              <w:jc w:val="center"/>
            </w:pPr>
            <w:r>
              <w:rPr>
                <w:rFonts w:ascii="Arial" w:hAnsi="Arial"/>
                <w:color w:val="333333"/>
                <w:sz w:val="16"/>
              </w:rPr>
              <w:t>3000</w:t>
            </w:r>
          </w:p>
        </w:tc>
        <w:tc>
          <w:tcPr>
            <w:tcW w:type="dxa" w:w="1584"/>
            <w:shd w:fill="F2F4F7"/>
            <w:tcMar>
              <w:top w:w="100" w:type="dxa"/>
              <w:bottom w:w="100" w:type="dxa"/>
              <w:left w:w="80" w:type="dxa"/>
              <w:right w:w="80" w:type="dxa"/>
            </w:tcMar>
          </w:tcPr>
          <w:p>
            <w:pPr>
              <w:jc w:val="left"/>
            </w:pPr>
            <w:r>
              <w:rPr>
                <w:rFonts w:ascii="Arial" w:hAnsi="Arial"/>
                <w:color w:val="333333"/>
                <w:sz w:val="16"/>
              </w:rPr>
              <w:t>Aprobado (1ms) - ✓ Vitest</w:t>
            </w:r>
          </w:p>
        </w:tc>
      </w:tr>
      <w:tr>
        <w:tc>
          <w:tcPr>
            <w:tcW w:type="dxa" w:w="864"/>
            <w:shd w:fill="FFFFFF"/>
            <w:tcMar>
              <w:top w:w="100" w:type="dxa"/>
              <w:bottom w:w="100" w:type="dxa"/>
              <w:left w:w="80" w:type="dxa"/>
              <w:right w:w="80" w:type="dxa"/>
            </w:tcMar>
          </w:tcPr>
          <w:p>
            <w:pPr>
              <w:jc w:val="center"/>
            </w:pPr>
            <w:r>
              <w:rPr>
                <w:rFonts w:ascii="Arial" w:hAnsi="Arial"/>
                <w:color w:val="333333"/>
                <w:sz w:val="16"/>
              </w:rPr>
              <w:t>CP19-3</w:t>
            </w:r>
          </w:p>
        </w:tc>
        <w:tc>
          <w:tcPr>
            <w:tcW w:type="dxa" w:w="1584"/>
            <w:shd w:fill="FFFFFF"/>
            <w:tcMar>
              <w:top w:w="100" w:type="dxa"/>
              <w:bottom w:w="100" w:type="dxa"/>
              <w:left w:w="80" w:type="dxa"/>
              <w:right w:w="80" w:type="dxa"/>
            </w:tcMar>
          </w:tcPr>
          <w:p>
            <w:pPr>
              <w:jc w:val="left"/>
            </w:pPr>
            <w:r>
              <w:rPr>
                <w:rFonts w:ascii="Arial" w:hAnsi="Arial"/>
                <w:color w:val="333333"/>
                <w:sz w:val="16"/>
              </w:rPr>
              <w:t>Múltiples Líneas</w:t>
            </w:r>
          </w:p>
        </w:tc>
        <w:tc>
          <w:tcPr>
            <w:tcW w:type="dxa" w:w="1872"/>
            <w:shd w:fill="FFFFFF"/>
            <w:tcMar>
              <w:top w:w="100" w:type="dxa"/>
              <w:bottom w:w="100" w:type="dxa"/>
              <w:left w:w="80" w:type="dxa"/>
              <w:right w:w="80" w:type="dxa"/>
            </w:tcMar>
          </w:tcPr>
          <w:p>
            <w:pPr>
              <w:jc w:val="left"/>
            </w:pPr>
            <w:r>
              <w:rPr>
                <w:rFonts w:ascii="Arial" w:hAnsi="Arial"/>
                <w:color w:val="333333"/>
                <w:sz w:val="16"/>
              </w:rPr>
              <w:t>Validar suma acumulativa de varios ítems (RF14-1).</w:t>
            </w:r>
          </w:p>
        </w:tc>
        <w:tc>
          <w:tcPr>
            <w:tcW w:type="dxa" w:w="1872"/>
            <w:shd w:fill="FFFFFF"/>
            <w:tcMar>
              <w:top w:w="100" w:type="dxa"/>
              <w:bottom w:w="100" w:type="dxa"/>
              <w:left w:w="80" w:type="dxa"/>
              <w:right w:w="80" w:type="dxa"/>
            </w:tcMar>
          </w:tcPr>
          <w:p>
            <w:pPr>
              <w:jc w:val="left"/>
            </w:pPr>
            <w:r>
              <w:rPr>
                <w:rFonts w:ascii="Arial" w:hAnsi="Arial"/>
                <w:color w:val="333333"/>
                <w:sz w:val="16"/>
              </w:rPr>
              <w:t>lines = [{precio: 1000, cant: 2}, {precio: 500, cant: 4}]</w:t>
            </w:r>
          </w:p>
        </w:tc>
        <w:tc>
          <w:tcPr>
            <w:tcW w:type="dxa" w:w="1152"/>
            <w:shd w:fill="FFFFFF"/>
            <w:tcMar>
              <w:top w:w="100" w:type="dxa"/>
              <w:bottom w:w="100" w:type="dxa"/>
              <w:left w:w="80" w:type="dxa"/>
              <w:right w:w="80" w:type="dxa"/>
            </w:tcMar>
          </w:tcPr>
          <w:p>
            <w:pPr>
              <w:jc w:val="center"/>
            </w:pPr>
            <w:r>
              <w:rPr>
                <w:rFonts w:ascii="Arial" w:hAnsi="Arial"/>
                <w:color w:val="333333"/>
                <w:sz w:val="16"/>
              </w:rPr>
              <w:t>4000</w:t>
            </w:r>
          </w:p>
        </w:tc>
        <w:tc>
          <w:tcPr>
            <w:tcW w:type="dxa" w:w="1152"/>
            <w:shd w:fill="FFFFFF"/>
            <w:tcMar>
              <w:top w:w="100" w:type="dxa"/>
              <w:bottom w:w="100" w:type="dxa"/>
              <w:left w:w="80" w:type="dxa"/>
              <w:right w:w="80" w:type="dxa"/>
            </w:tcMar>
          </w:tcPr>
          <w:p>
            <w:pPr>
              <w:jc w:val="center"/>
            </w:pPr>
            <w:r>
              <w:rPr>
                <w:rFonts w:ascii="Arial" w:hAnsi="Arial"/>
                <w:color w:val="333333"/>
                <w:sz w:val="16"/>
              </w:rPr>
              <w:t>4000</w:t>
            </w:r>
          </w:p>
        </w:tc>
        <w:tc>
          <w:tcPr>
            <w:tcW w:type="dxa" w:w="1584"/>
            <w:shd w:fill="FFFFFF"/>
            <w:tcMar>
              <w:top w:w="100" w:type="dxa"/>
              <w:bottom w:w="100" w:type="dxa"/>
              <w:left w:w="80" w:type="dxa"/>
              <w:right w:w="80" w:type="dxa"/>
            </w:tcMar>
          </w:tcPr>
          <w:p>
            <w:pPr>
              <w:jc w:val="left"/>
            </w:pPr>
            <w:r>
              <w:rPr>
                <w:rFonts w:ascii="Arial" w:hAnsi="Arial"/>
                <w:color w:val="333333"/>
                <w:sz w:val="16"/>
              </w:rPr>
              <w:t>Aprobado (1ms) - ✓ Vitest</w:t>
            </w:r>
          </w:p>
        </w:tc>
      </w:tr>
      <w:tr>
        <w:tc>
          <w:tcPr>
            <w:tcW w:type="dxa" w:w="864"/>
            <w:shd w:fill="F2F4F7"/>
            <w:tcMar>
              <w:top w:w="100" w:type="dxa"/>
              <w:bottom w:w="100" w:type="dxa"/>
              <w:left w:w="80" w:type="dxa"/>
              <w:right w:w="80" w:type="dxa"/>
            </w:tcMar>
          </w:tcPr>
          <w:p>
            <w:pPr>
              <w:jc w:val="center"/>
            </w:pPr>
            <w:r>
              <w:rPr>
                <w:rFonts w:ascii="Arial" w:hAnsi="Arial"/>
                <w:color w:val="333333"/>
                <w:sz w:val="16"/>
              </w:rPr>
              <w:t>CP19-4</w:t>
            </w:r>
          </w:p>
        </w:tc>
        <w:tc>
          <w:tcPr>
            <w:tcW w:type="dxa" w:w="1584"/>
            <w:shd w:fill="F2F4F7"/>
            <w:tcMar>
              <w:top w:w="100" w:type="dxa"/>
              <w:bottom w:w="100" w:type="dxa"/>
              <w:left w:w="80" w:type="dxa"/>
              <w:right w:w="80" w:type="dxa"/>
            </w:tcMar>
          </w:tcPr>
          <w:p>
            <w:pPr>
              <w:jc w:val="left"/>
            </w:pPr>
            <w:r>
              <w:rPr>
                <w:rFonts w:ascii="Arial" w:hAnsi="Arial"/>
                <w:color w:val="333333"/>
                <w:sz w:val="16"/>
              </w:rPr>
              <w:t>Precios Elevados</w:t>
            </w:r>
          </w:p>
        </w:tc>
        <w:tc>
          <w:tcPr>
            <w:tcW w:type="dxa" w:w="1872"/>
            <w:shd w:fill="F2F4F7"/>
            <w:tcMar>
              <w:top w:w="100" w:type="dxa"/>
              <w:bottom w:w="100" w:type="dxa"/>
              <w:left w:w="80" w:type="dxa"/>
              <w:right w:w="80" w:type="dxa"/>
            </w:tcMar>
          </w:tcPr>
          <w:p>
            <w:pPr>
              <w:jc w:val="left"/>
            </w:pPr>
            <w:r>
              <w:rPr>
                <w:rFonts w:ascii="Arial" w:hAnsi="Arial"/>
                <w:color w:val="333333"/>
                <w:sz w:val="16"/>
              </w:rPr>
              <w:t>Verificar cálculo con valores reales de smartphones.</w:t>
            </w:r>
          </w:p>
        </w:tc>
        <w:tc>
          <w:tcPr>
            <w:tcW w:type="dxa" w:w="1872"/>
            <w:shd w:fill="F2F4F7"/>
            <w:tcMar>
              <w:top w:w="100" w:type="dxa"/>
              <w:bottom w:w="100" w:type="dxa"/>
              <w:left w:w="80" w:type="dxa"/>
              <w:right w:w="80" w:type="dxa"/>
            </w:tcMar>
          </w:tcPr>
          <w:p>
            <w:pPr>
              <w:jc w:val="left"/>
            </w:pPr>
            <w:r>
              <w:rPr>
                <w:rFonts w:ascii="Arial" w:hAnsi="Arial"/>
                <w:color w:val="333333"/>
                <w:sz w:val="16"/>
              </w:rPr>
              <w:t>lines = [{precio: 1299990, cant: 1}, {precio: 299990, cant: 2}]</w:t>
            </w:r>
          </w:p>
        </w:tc>
        <w:tc>
          <w:tcPr>
            <w:tcW w:type="dxa" w:w="1152"/>
            <w:shd w:fill="F2F4F7"/>
            <w:tcMar>
              <w:top w:w="100" w:type="dxa"/>
              <w:bottom w:w="100" w:type="dxa"/>
              <w:left w:w="80" w:type="dxa"/>
              <w:right w:w="80" w:type="dxa"/>
            </w:tcMar>
          </w:tcPr>
          <w:p>
            <w:pPr>
              <w:jc w:val="center"/>
            </w:pPr>
            <w:r>
              <w:rPr>
                <w:rFonts w:ascii="Arial" w:hAnsi="Arial"/>
                <w:color w:val="333333"/>
                <w:sz w:val="16"/>
              </w:rPr>
              <w:t>1899970</w:t>
            </w:r>
          </w:p>
        </w:tc>
        <w:tc>
          <w:tcPr>
            <w:tcW w:type="dxa" w:w="1152"/>
            <w:shd w:fill="F2F4F7"/>
            <w:tcMar>
              <w:top w:w="100" w:type="dxa"/>
              <w:bottom w:w="100" w:type="dxa"/>
              <w:left w:w="80" w:type="dxa"/>
              <w:right w:w="80" w:type="dxa"/>
            </w:tcMar>
          </w:tcPr>
          <w:p>
            <w:pPr>
              <w:jc w:val="center"/>
            </w:pPr>
            <w:r>
              <w:rPr>
                <w:rFonts w:ascii="Arial" w:hAnsi="Arial"/>
                <w:color w:val="333333"/>
                <w:sz w:val="16"/>
              </w:rPr>
              <w:t>1899970</w:t>
            </w:r>
          </w:p>
        </w:tc>
        <w:tc>
          <w:tcPr>
            <w:tcW w:type="dxa" w:w="1584"/>
            <w:shd w:fill="F2F4F7"/>
            <w:tcMar>
              <w:top w:w="100" w:type="dxa"/>
              <w:bottom w:w="100" w:type="dxa"/>
              <w:left w:w="80" w:type="dxa"/>
              <w:right w:w="80" w:type="dxa"/>
            </w:tcMar>
          </w:tcPr>
          <w:p>
            <w:pPr>
              <w:jc w:val="left"/>
            </w:pPr>
            <w:r>
              <w:rPr>
                <w:rFonts w:ascii="Arial" w:hAnsi="Arial"/>
                <w:color w:val="333333"/>
                <w:sz w:val="16"/>
              </w:rPr>
              <w:t>Aprobado (1ms) - ✓ Vitest</w:t>
            </w:r>
          </w:p>
        </w:tc>
      </w:tr>
    </w:tbl>
    <w:p>
      <w:pPr>
        <w:spacing w:after="200"/>
      </w:pPr>
    </w:p>
    <w:p>
      <w:r>
        <w:rPr>
          <w:b/>
          <w:color w:val="003366"/>
          <w:sz w:val="19"/>
        </w:rPr>
        <w:t>Evidencia de Ejecución en Consola (Vitest Terminal Output):</w:t>
      </w:r>
    </w:p>
    <w:p>
      <w:pPr>
        <w:spacing w:after="300"/>
      </w:pPr>
      <w:r>
        <w:rPr>
          <w:rFonts w:ascii="Consolas" w:hAnsi="Consolas"/>
          <w:color w:val="006600"/>
          <w:sz w:val="17"/>
        </w:rPr>
        <w:t xml:space="preserve"> RUN  v4.0.14 C:/Users/xkait/Documents/MoAr/tienda-moar</w:t>
        <w:br/>
        <w:br/>
        <w:t xml:space="preserve"> ✓ src/tests/cart.test.ts (4 tests) 5ms</w:t>
        <w:br/>
        <w:br/>
        <w:t xml:space="preserve"> Test Files  1 passed (1)</w:t>
        <w:br/>
        <w:t xml:space="preserve">      Tests  4 passed (4)</w:t>
        <w:br/>
        <w:t xml:space="preserve">   Duration  2.58s</w:t>
      </w:r>
    </w:p>
    <w:p>
      <w:pPr>
        <w:pStyle w:val="Heading1"/>
      </w:pPr>
      <w:r>
        <w:rPr>
          <w:rFonts w:ascii="Arial" w:hAnsi="Arial"/>
          <w:color w:val="003366"/>
        </w:rPr>
        <w:t>3. Parte II: Pruebas de Inspección de Código (Análisis Estático)</w:t>
      </w:r>
    </w:p>
    <w:p>
      <w:pPr>
        <w:spacing w:line="276" w:lineRule="auto" w:after="200"/>
      </w:pPr>
      <w:r>
        <w:t>Se configuró la herramienta de inspección estática ESLint v9 con los plugins de TypeScript y React. Se ejecutó un escaneo completo sobre los componentes, controladores y páginas del sistema WEB Tienda MoAr (src/). A continuación se presenta la síntesis del análisis estático realizado:</w:t>
      </w:r>
    </w:p>
    <w:p>
      <w:r>
        <w:rPr>
          <w:b/>
          <w:color w:val="003366"/>
        </w:rPr>
        <w:t>Tabla II: Análisis de Resultados del Escaneo Estático</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3120"/>
        <w:gridCol w:w="3120"/>
        <w:gridCol w:w="3120"/>
      </w:tblGrid>
      <w:tr>
        <w:tc>
          <w:tcPr>
            <w:tcW w:type="dxa" w:w="2592"/>
            <w:shd w:fill="003366"/>
            <w:tcMar>
              <w:top w:w="120" w:type="dxa"/>
              <w:bottom w:w="120" w:type="dxa"/>
              <w:left w:w="100" w:type="dxa"/>
              <w:right w:w="100" w:type="dxa"/>
            </w:tcMar>
          </w:tcPr>
          <w:p>
            <w:pPr>
              <w:jc w:val="center"/>
            </w:pPr>
            <w:r>
              <w:rPr>
                <w:rFonts w:ascii="Arial" w:hAnsi="Arial"/>
                <w:b/>
                <w:color w:val="FFFFFF"/>
                <w:sz w:val="18"/>
              </w:rPr>
              <w:t>Categoría</w:t>
            </w:r>
          </w:p>
        </w:tc>
        <w:tc>
          <w:tcPr>
            <w:tcW w:type="dxa" w:w="1440"/>
            <w:shd w:fill="003366"/>
            <w:tcMar>
              <w:top w:w="120" w:type="dxa"/>
              <w:bottom w:w="120" w:type="dxa"/>
              <w:left w:w="100" w:type="dxa"/>
              <w:right w:w="100" w:type="dxa"/>
            </w:tcMar>
          </w:tcPr>
          <w:p>
            <w:pPr>
              <w:jc w:val="center"/>
            </w:pPr>
            <w:r>
              <w:rPr>
                <w:rFonts w:ascii="Arial" w:hAnsi="Arial"/>
                <w:b/>
                <w:color w:val="FFFFFF"/>
                <w:sz w:val="18"/>
              </w:rPr>
              <w:t>Cantidad</w:t>
            </w:r>
          </w:p>
        </w:tc>
        <w:tc>
          <w:tcPr>
            <w:tcW w:type="dxa" w:w="6048"/>
            <w:shd w:fill="003366"/>
            <w:tcMar>
              <w:top w:w="120" w:type="dxa"/>
              <w:bottom w:w="120" w:type="dxa"/>
              <w:left w:w="100" w:type="dxa"/>
              <w:right w:w="100" w:type="dxa"/>
            </w:tcMar>
          </w:tcPr>
          <w:p>
            <w:pPr>
              <w:jc w:val="center"/>
            </w:pPr>
            <w:r>
              <w:rPr>
                <w:rFonts w:ascii="Arial" w:hAnsi="Arial"/>
                <w:b/>
                <w:color w:val="FFFFFF"/>
                <w:sz w:val="18"/>
              </w:rPr>
              <w:t>Breve Análisis y Diagnóstico</w:t>
            </w:r>
          </w:p>
        </w:tc>
      </w:tr>
      <w:tr>
        <w:tc>
          <w:tcPr>
            <w:tcW w:type="dxa" w:w="2592"/>
            <w:shd w:fill="FFFFFF"/>
            <w:tcMar>
              <w:top w:w="100" w:type="dxa"/>
              <w:bottom w:w="100" w:type="dxa"/>
              <w:left w:w="100" w:type="dxa"/>
              <w:right w:w="100" w:type="dxa"/>
            </w:tcMar>
          </w:tcPr>
          <w:p>
            <w:r>
              <w:rPr>
                <w:rFonts w:ascii="Arial" w:hAnsi="Arial"/>
                <w:b/>
                <w:sz w:val="17"/>
              </w:rPr>
              <w:t>Bugs</w:t>
            </w:r>
          </w:p>
        </w:tc>
        <w:tc>
          <w:tcPr>
            <w:tcW w:type="dxa" w:w="1440"/>
            <w:shd w:fill="FFFFFF"/>
            <w:tcMar>
              <w:top w:w="100" w:type="dxa"/>
              <w:bottom w:w="100" w:type="dxa"/>
              <w:left w:w="100" w:type="dxa"/>
              <w:right w:w="100" w:type="dxa"/>
            </w:tcMar>
          </w:tcPr>
          <w:p>
            <w:pPr>
              <w:jc w:val="center"/>
            </w:pPr>
            <w:r>
              <w:rPr>
                <w:rFonts w:ascii="Arial" w:hAnsi="Arial"/>
                <w:b/>
                <w:color w:val="008000"/>
                <w:sz w:val="17"/>
              </w:rPr>
              <w:t>0</w:t>
            </w:r>
          </w:p>
        </w:tc>
        <w:tc>
          <w:tcPr>
            <w:tcW w:type="dxa" w:w="6048"/>
            <w:shd w:fill="FFFFFF"/>
            <w:tcMar>
              <w:top w:w="100" w:type="dxa"/>
              <w:bottom w:w="100" w:type="dxa"/>
              <w:left w:w="100" w:type="dxa"/>
              <w:right w:w="100" w:type="dxa"/>
            </w:tcMar>
          </w:tcPr>
          <w:p>
            <w:r>
              <w:rPr>
                <w:rFonts w:ascii="Arial" w:hAnsi="Arial"/>
                <w:color w:val="333333"/>
                <w:sz w:val="17"/>
              </w:rPr>
              <w:t>No se detectaron fallos sintácticos o bloqueos críticos de runtime en el código escaneado.</w:t>
            </w:r>
          </w:p>
        </w:tc>
      </w:tr>
      <w:tr>
        <w:tc>
          <w:tcPr>
            <w:tcW w:type="dxa" w:w="2592"/>
            <w:shd w:fill="F2F4F7"/>
            <w:tcMar>
              <w:top w:w="100" w:type="dxa"/>
              <w:bottom w:w="100" w:type="dxa"/>
              <w:left w:w="100" w:type="dxa"/>
              <w:right w:w="100" w:type="dxa"/>
            </w:tcMar>
          </w:tcPr>
          <w:p>
            <w:r>
              <w:rPr>
                <w:rFonts w:ascii="Arial" w:hAnsi="Arial"/>
                <w:b/>
                <w:sz w:val="17"/>
              </w:rPr>
              <w:t>Vulnerabilidades</w:t>
            </w:r>
          </w:p>
        </w:tc>
        <w:tc>
          <w:tcPr>
            <w:tcW w:type="dxa" w:w="1440"/>
            <w:shd w:fill="F2F4F7"/>
            <w:tcMar>
              <w:top w:w="100" w:type="dxa"/>
              <w:bottom w:w="100" w:type="dxa"/>
              <w:left w:w="100" w:type="dxa"/>
              <w:right w:w="100" w:type="dxa"/>
            </w:tcMar>
          </w:tcPr>
          <w:p>
            <w:pPr>
              <w:jc w:val="center"/>
            </w:pPr>
            <w:r>
              <w:rPr>
                <w:rFonts w:ascii="Arial" w:hAnsi="Arial"/>
                <w:b/>
                <w:color w:val="008000"/>
                <w:sz w:val="17"/>
              </w:rPr>
              <w:t>0</w:t>
            </w:r>
          </w:p>
        </w:tc>
        <w:tc>
          <w:tcPr>
            <w:tcW w:type="dxa" w:w="6048"/>
            <w:shd w:fill="F2F4F7"/>
            <w:tcMar>
              <w:top w:w="100" w:type="dxa"/>
              <w:bottom w:w="100" w:type="dxa"/>
              <w:left w:w="100" w:type="dxa"/>
              <w:right w:w="100" w:type="dxa"/>
            </w:tcMar>
          </w:tcPr>
          <w:p>
            <w:r>
              <w:rPr>
                <w:rFonts w:ascii="Arial" w:hAnsi="Arial"/>
                <w:color w:val="333333"/>
                <w:sz w:val="17"/>
              </w:rPr>
              <w:t>No se detectaron patrones de inyección ni riesgos de seguridad directos en el frontend.</w:t>
            </w:r>
          </w:p>
        </w:tc>
      </w:tr>
      <w:tr>
        <w:tc>
          <w:tcPr>
            <w:tcW w:type="dxa" w:w="2592"/>
            <w:shd w:fill="FFFFFF"/>
            <w:tcMar>
              <w:top w:w="100" w:type="dxa"/>
              <w:bottom w:w="100" w:type="dxa"/>
              <w:left w:w="100" w:type="dxa"/>
              <w:right w:w="100" w:type="dxa"/>
            </w:tcMar>
          </w:tcPr>
          <w:p>
            <w:r>
              <w:rPr>
                <w:rFonts w:ascii="Arial" w:hAnsi="Arial"/>
                <w:b/>
                <w:sz w:val="17"/>
              </w:rPr>
              <w:t>Code Smells</w:t>
            </w:r>
          </w:p>
        </w:tc>
        <w:tc>
          <w:tcPr>
            <w:tcW w:type="dxa" w:w="1440"/>
            <w:shd w:fill="FFFFFF"/>
            <w:tcMar>
              <w:top w:w="100" w:type="dxa"/>
              <w:bottom w:w="100" w:type="dxa"/>
              <w:left w:w="100" w:type="dxa"/>
              <w:right w:w="100" w:type="dxa"/>
            </w:tcMar>
          </w:tcPr>
          <w:p>
            <w:pPr>
              <w:jc w:val="center"/>
            </w:pPr>
            <w:r>
              <w:rPr>
                <w:rFonts w:ascii="Arial" w:hAnsi="Arial"/>
                <w:b/>
                <w:color w:val="B46400"/>
                <w:sz w:val="17"/>
              </w:rPr>
              <w:t>10</w:t>
            </w:r>
          </w:p>
        </w:tc>
        <w:tc>
          <w:tcPr>
            <w:tcW w:type="dxa" w:w="6048"/>
            <w:shd w:fill="FFFFFF"/>
            <w:tcMar>
              <w:top w:w="100" w:type="dxa"/>
              <w:bottom w:w="100" w:type="dxa"/>
              <w:left w:w="100" w:type="dxa"/>
              <w:right w:w="100" w:type="dxa"/>
            </w:tcMar>
          </w:tcPr>
          <w:p>
            <w:r>
              <w:rPr>
                <w:rFonts w:ascii="Arial" w:hAnsi="Arial"/>
                <w:color w:val="333333"/>
                <w:sz w:val="17"/>
              </w:rPr>
              <w:t>Inconsistencias de mantenibilidad: uso de tipo 'any' implícito/explícito (Carrito.tsx, RegistroCliente.tsx), variables declaradas sin uso ('subtotal' y 'Product'), y hooks exportados junto con contextos React.</w:t>
            </w:r>
          </w:p>
        </w:tc>
      </w:tr>
      <w:tr>
        <w:tc>
          <w:tcPr>
            <w:tcW w:type="dxa" w:w="2592"/>
            <w:shd w:fill="F2F4F7"/>
            <w:tcMar>
              <w:top w:w="100" w:type="dxa"/>
              <w:bottom w:w="100" w:type="dxa"/>
              <w:left w:w="100" w:type="dxa"/>
              <w:right w:w="100" w:type="dxa"/>
            </w:tcMar>
          </w:tcPr>
          <w:p>
            <w:r>
              <w:rPr>
                <w:rFonts w:ascii="Arial" w:hAnsi="Arial"/>
                <w:b/>
                <w:sz w:val="17"/>
              </w:rPr>
              <w:t>Cobertura</w:t>
            </w:r>
          </w:p>
        </w:tc>
        <w:tc>
          <w:tcPr>
            <w:tcW w:type="dxa" w:w="1440"/>
            <w:shd w:fill="F2F4F7"/>
            <w:tcMar>
              <w:top w:w="100" w:type="dxa"/>
              <w:bottom w:w="100" w:type="dxa"/>
              <w:left w:w="100" w:type="dxa"/>
              <w:right w:w="100" w:type="dxa"/>
            </w:tcMar>
          </w:tcPr>
          <w:p>
            <w:pPr>
              <w:jc w:val="center"/>
            </w:pPr>
            <w:r>
              <w:rPr>
                <w:rFonts w:ascii="Arial" w:hAnsi="Arial"/>
                <w:b/>
                <w:sz w:val="17"/>
              </w:rPr>
              <w:t>100%</w:t>
            </w:r>
          </w:p>
        </w:tc>
        <w:tc>
          <w:tcPr>
            <w:tcW w:type="dxa" w:w="6048"/>
            <w:shd w:fill="F2F4F7"/>
            <w:tcMar>
              <w:top w:w="100" w:type="dxa"/>
              <w:bottom w:w="100" w:type="dxa"/>
              <w:left w:w="100" w:type="dxa"/>
              <w:right w:w="100" w:type="dxa"/>
            </w:tcMar>
          </w:tcPr>
          <w:p>
            <w:r>
              <w:rPr>
                <w:rFonts w:ascii="Arial" w:hAnsi="Arial"/>
                <w:color w:val="333333"/>
                <w:sz w:val="17"/>
              </w:rPr>
              <w:t>Cobertura total del suite de pruebas unitarias sobre el módulo de cálculo de subtotales de compra (cart.ts).</w:t>
            </w:r>
          </w:p>
        </w:tc>
      </w:tr>
    </w:tbl>
    <w:p>
      <w:pPr>
        <w:spacing w:after="300"/>
      </w:pPr>
    </w:p>
    <w:p>
      <w:pPr>
        <w:pStyle w:val="Heading1"/>
      </w:pPr>
      <w:r>
        <w:rPr>
          <w:rFonts w:ascii="Arial" w:hAnsi="Arial"/>
          <w:color w:val="003366"/>
        </w:rPr>
        <w:t>4. Parte III: Informe de Procedimiento y Conclusiones</w:t>
      </w:r>
    </w:p>
    <w:p>
      <w:pPr>
        <w:spacing w:line="276" w:lineRule="auto" w:after="120"/>
      </w:pPr>
      <w:r>
        <w:rPr>
          <w:rFonts w:ascii="Arial" w:hAnsi="Arial"/>
          <w:b/>
          <w:color w:val="003366"/>
          <w:sz w:val="20"/>
        </w:rPr>
        <w:t xml:space="preserve">Procedimiento Realizado: </w:t>
      </w:r>
      <w:r>
        <w:rPr>
          <w:rFonts w:ascii="Arial" w:hAnsi="Arial"/>
          <w:color w:val="333333"/>
          <w:sz w:val="20"/>
        </w:rPr>
        <w:t>Se inició con la auditoría de dependencias y la puesta en marcha de Vitest como runner de pruebas unitarias de caja blanca. Posteriormente, se alinearon los casos de prueba de la función de cálculo del carrito con los requerimientos del Plan de Pruebas (RF14/CP19) redactado para la Parcial 1.</w:t>
      </w:r>
    </w:p>
    <w:p>
      <w:pPr>
        <w:spacing w:line="276" w:lineRule="auto" w:after="120"/>
      </w:pPr>
      <w:r>
        <w:rPr>
          <w:rFonts w:ascii="Arial" w:hAnsi="Arial"/>
          <w:b/>
          <w:color w:val="003366"/>
          <w:sz w:val="20"/>
        </w:rPr>
        <w:t xml:space="preserve">Resultados de Pruebas Unitarias: </w:t>
      </w:r>
      <w:r>
        <w:rPr>
          <w:rFonts w:ascii="Arial" w:hAnsi="Arial"/>
          <w:color w:val="333333"/>
          <w:sz w:val="20"/>
        </w:rPr>
        <w:t>La función calcularSubtotal respondió satisfactoriamente bajo los 4 escenarios planteados (arreglo vacío, ítem único, múltiples ítems y precios elevados de smartphones), alcanzando un 100% de tasa de éxito.</w:t>
      </w:r>
    </w:p>
    <w:p>
      <w:pPr>
        <w:spacing w:line="276" w:lineRule="auto" w:after="120"/>
      </w:pPr>
      <w:r>
        <w:rPr>
          <w:rFonts w:ascii="Arial" w:hAnsi="Arial"/>
          <w:b/>
          <w:color w:val="003366"/>
          <w:sz w:val="20"/>
        </w:rPr>
        <w:t xml:space="preserve">Resultados de Inspección de Código: </w:t>
      </w:r>
      <w:r>
        <w:rPr>
          <w:rFonts w:ascii="Arial" w:hAnsi="Arial"/>
          <w:color w:val="333333"/>
          <w:sz w:val="20"/>
        </w:rPr>
        <w:t>El escaneo con ESLint identificó 10 observaciones leves de mantenibilidad (Code Smells). Se definió un plan de acción para reemplazar el tipado 'any' por interfaces estrictas de TypeScript y remover variables inactivas en la siguiente iteración.</w:t>
      </w:r>
    </w:p>
    <w:p>
      <w:pPr>
        <w:spacing w:line="276" w:lineRule="auto" w:after="120"/>
      </w:pPr>
      <w:r>
        <w:rPr>
          <w:rFonts w:ascii="Arial" w:hAnsi="Arial"/>
          <w:b/>
          <w:color w:val="003366"/>
          <w:sz w:val="20"/>
        </w:rPr>
        <w:t xml:space="preserve">Criterios de Aceptación: </w:t>
      </w:r>
      <w:r>
        <w:rPr>
          <w:rFonts w:ascii="Arial" w:hAnsi="Arial"/>
          <w:color w:val="333333"/>
          <w:sz w:val="20"/>
        </w:rPr>
        <w:t>El software cumple con los criterios de aceptación en términos de integridad de cálculo de compras y ausencia de bugs críticos, estando apto para su validación en fase de QA.</w:t>
      </w:r>
    </w:p>
    <w:p>
      <w:pPr>
        <w:spacing w:after="600"/>
      </w:pPr>
    </w:p>
    <w:tbl>
      <w:tblPr>
        <w:tblW w:type="auto" w:w="0"/>
        <w:jc w:val="center"/>
        <w:tblLook w:firstColumn="1" w:firstRow="1" w:lastColumn="0" w:lastRow="0" w:noHBand="0" w:noVBand="1" w:val="04A0"/>
      </w:tblPr>
      <w:tblGrid>
        <w:gridCol w:w="4680"/>
        <w:gridCol w:w="4680"/>
      </w:tblGrid>
      <w:tr>
        <w:tc>
          <w:tcPr>
            <w:tcW w:type="dxa" w:w="4608"/>
          </w:tcPr>
          <w:p>
            <w:pPr>
              <w:jc w:val="center"/>
            </w:pPr>
            <w:r>
              <w:rPr>
                <w:rFonts w:ascii="Arial" w:hAnsi="Arial"/>
              </w:rPr>
              <w:t>_____________________________________</w:t>
              <w:br/>
              <w:t>Nicolas Iturrieta</w:t>
              <w:br/>
              <w:t>Analista QA</w:t>
            </w:r>
          </w:p>
        </w:tc>
        <w:tc>
          <w:tcPr>
            <w:tcW w:type="dxa" w:w="4608"/>
          </w:tcPr>
          <w:p>
            <w:pPr>
              <w:jc w:val="center"/>
            </w:pPr>
            <w:r>
              <w:rPr>
                <w:rFonts w:ascii="Arial" w:hAnsi="Arial"/>
              </w:rPr>
              <w:t>_____________________________________</w:t>
              <w:br/>
              <w:t>Miguel Arredondo</w:t>
              <w:br/>
              <w:t>Jefe de Proyecto QA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