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INFORME DE PRUEBA SUSTANTIVA</w:t>
      </w:r>
    </w:p>
    <w:p>
      <w:pPr>
        <w:pStyle w:val="Title"/>
      </w:pPr>
      <w:r>
        <w:t>Informe de Prueba Sustantiva: Verificación de Controles de Acceso en Endpoints del Sistema – OWASP A01:2025</w:t>
      </w:r>
    </w:p>
    <w:p>
      <w:pPr>
        <w:pStyle w:val="Subtitle"/>
      </w:pPr>
      <w:r>
        <w:t>Fase 1 · Acceso anónimo · Caja negra · DAST</w:t>
      </w:r>
    </w:p>
    <w:p>
      <w:pPr>
        <w:pStyle w:val="Heading1"/>
      </w:pPr>
      <w:r>
        <w:t>1. Resultado ejecutivo</w:t>
      </w:r>
    </w:p>
    <w:p>
      <w:r>
        <w:t>Resultado general: NO CONCLUYENTE PARA A01. No se confirmó acceso indebido a datos protegidos en las respuestas examinadas. Tampoco existe evidencia suficiente para declarar que el sistema cumple sus controles de acceso.</w:t>
      </w:r>
    </w:p>
    <w:p>
      <w:r>
        <w:t>Las 15 rutas solicitadas respondieron HTTP 200 con Content-Type text/html y 7.541 bytes. El cuerpo es idéntico, byte a byte, al de la página principal y al de una ruta de control diseñada como inexistente. Python Requests e Insomnia 13.3.0 reprodujeron el mismo resultado. Este comportamiento es consistente con el fallback de la SPA.</w:t>
      </w:r>
    </w:p>
    <w:p>
      <w:r>
        <w:t>Se conservaron 34 respuestas HTTP principales satisfactorias, 51 capturas originales de Insomnia y 68 aserciones de instrumentación aprobadas. Estas aserciones comprueban el registro de la respuesta; no son 68 pruebas de autorización ni certifican cumplimiento de OWASP.</w:t>
      </w:r>
    </w:p>
    <w:p>
      <w:pPr>
        <w:pStyle w:val="Heading1"/>
      </w:pPr>
      <w:r>
        <w:t>2. Datos de la prueba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7344"/>
      </w:tblGrid>
      <w:tr>
        <w:trPr>
          <w:tblHeader/>
          <w:cantSplit/>
        </w:trPr>
        <w:tc>
          <w:tcPr>
            <w:tcW w:type="dxa" w:w="2520"/>
          </w:tcPr>
          <w:p>
            <w:pPr>
              <w:spacing w:after="80" w:before="40"/>
            </w:pPr>
            <w:r>
              <w:rPr>
                <w:sz w:val="18"/>
              </w:rPr>
              <w:t>Campo</w:t>
            </w:r>
          </w:p>
        </w:tc>
        <w:tc>
          <w:tcPr>
            <w:tcW w:type="dxa" w:w="7344"/>
          </w:tcPr>
          <w:p>
            <w:pPr>
              <w:spacing w:after="80" w:before="40"/>
            </w:pPr>
            <w:r>
              <w:rPr>
                <w:sz w:val="18"/>
              </w:rPr>
              <w:t>Detalle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 w:before="40"/>
            </w:pPr>
            <w:r>
              <w:rPr>
                <w:sz w:val="18"/>
              </w:rPr>
              <w:t>Sistema</w:t>
            </w:r>
          </w:p>
        </w:tc>
        <w:tc>
          <w:tcPr>
            <w:tcW w:type="dxa" w:w="7344"/>
          </w:tcPr>
          <w:p>
            <w:pPr>
              <w:spacing w:after="80" w:before="40"/>
            </w:pPr>
            <w:r>
              <w:rPr>
                <w:sz w:val="18"/>
              </w:rPr>
              <w:t>Panificadora Nancy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 w:before="40"/>
            </w:pPr>
            <w:r>
              <w:rPr>
                <w:sz w:val="18"/>
              </w:rPr>
              <w:t>Destino</w:t>
            </w:r>
          </w:p>
        </w:tc>
        <w:tc>
          <w:tcPr>
            <w:tcW w:type="dxa" w:w="7344"/>
          </w:tcPr>
          <w:p>
            <w:pPr>
              <w:spacing w:after="80" w:before="40"/>
            </w:pPr>
            <w:r>
              <w:rPr>
                <w:sz w:val="18"/>
              </w:rPr>
              <w:t>https://www.panificadoranancy.com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 w:before="40"/>
            </w:pPr>
            <w:r>
              <w:rPr>
                <w:sz w:val="18"/>
              </w:rPr>
              <w:t>Referencia</w:t>
            </w:r>
          </w:p>
        </w:tc>
        <w:tc>
          <w:tcPr>
            <w:tcW w:type="dxa" w:w="7344"/>
          </w:tcPr>
          <w:p>
            <w:pPr>
              <w:spacing w:after="80" w:before="40"/>
            </w:pPr>
            <w:r>
              <w:rPr>
                <w:sz w:val="18"/>
              </w:rPr>
              <w:t>OWASP Top 10:2025, A01 — Broken Access Control [R1]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 w:before="40"/>
            </w:pPr>
            <w:r>
              <w:rPr>
                <w:sz w:val="18"/>
              </w:rPr>
              <w:t>Modalidad</w:t>
            </w:r>
          </w:p>
        </w:tc>
        <w:tc>
          <w:tcPr>
            <w:tcW w:type="dxa" w:w="7344"/>
          </w:tcPr>
          <w:p>
            <w:pPr>
              <w:spacing w:after="80" w:before="40"/>
            </w:pPr>
            <w:r>
              <w:rPr>
                <w:sz w:val="18"/>
              </w:rPr>
              <w:t>Caja negra; DAST acotado; método GET; usuario anónimo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 w:before="40"/>
            </w:pPr>
            <w:r>
              <w:rPr>
                <w:sz w:val="18"/>
              </w:rPr>
              <w:t>Fecha / zona</w:t>
            </w:r>
          </w:p>
        </w:tc>
        <w:tc>
          <w:tcPr>
            <w:tcW w:type="dxa" w:w="7344"/>
          </w:tcPr>
          <w:p>
            <w:pPr>
              <w:spacing w:after="80" w:before="40"/>
            </w:pPr>
            <w:r>
              <w:rPr>
                <w:sz w:val="18"/>
              </w:rPr>
              <w:t>7 de octubre de 2026 · America/La_Paz (UTC−04:00)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 w:before="40"/>
            </w:pPr>
            <w:r>
              <w:rPr>
                <w:sz w:val="18"/>
              </w:rPr>
              <w:t>Herramientas</w:t>
            </w:r>
          </w:p>
        </w:tc>
        <w:tc>
          <w:tcPr>
            <w:tcW w:type="dxa" w:w="7344"/>
          </w:tcPr>
          <w:p>
            <w:pPr>
              <w:spacing w:after="80" w:before="40"/>
            </w:pPr>
            <w:r>
              <w:rPr>
                <w:sz w:val="18"/>
              </w:rPr>
              <w:t>Insomnia 13.3.0; Python 3.14.7; Requests 2.34.2; Playwright para operar y capturar la interfaz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 w:before="40"/>
            </w:pPr>
            <w:r>
              <w:rPr>
                <w:sz w:val="18"/>
              </w:rPr>
              <w:t>Responsabilidad</w:t>
            </w:r>
          </w:p>
        </w:tc>
        <w:tc>
          <w:tcPr>
            <w:tcW w:type="dxa" w:w="7344"/>
          </w:tcPr>
          <w:p>
            <w:pPr>
              <w:spacing w:after="80" w:before="40"/>
            </w:pPr>
            <w:r>
              <w:rPr>
                <w:sz w:val="18"/>
              </w:rPr>
              <w:t>Ejecución técnica asistida por Codex. Responsable académico y revisor: por completar por el usuario.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 w:before="40"/>
            </w:pPr>
            <w:r>
              <w:rPr>
                <w:sz w:val="18"/>
              </w:rPr>
              <w:t>Alcance acordado</w:t>
            </w:r>
          </w:p>
        </w:tc>
        <w:tc>
          <w:tcPr>
            <w:tcW w:type="dxa" w:w="7344"/>
          </w:tcPr>
          <w:p>
            <w:pPr>
              <w:spacing w:after="80" w:before="40"/>
            </w:pPr>
            <w:r>
              <w:rPr>
                <w:sz w:val="18"/>
              </w:rPr>
              <w:t>Solo acceso anónimo. Las pruebas con cuentas e IDOR se pospusieron por indicación expresa del usuario.</w:t>
            </w:r>
          </w:p>
        </w:tc>
      </w:tr>
    </w:tbl>
    <w:p>
      <w:pPr>
        <w:pStyle w:val="Heading1"/>
        <w:pageBreakBefore/>
      </w:pPr>
      <w:r>
        <w:t>3. Objetivo, alcance y criterio</w:t>
      </w:r>
    </w:p>
    <w:p>
      <w:r>
        <w:t>Verificar si las rutas indicadas permiten obtener información protegida sin autenticación y diferenciar respuestas de datos de documentos de presentación. La evaluación de funciones y objetos protegidos requiere identificar sus endpoints reales de API y contar con identidades y objetos de prueba controlados.</w:t>
      </w:r>
    </w:p>
    <w:p>
      <w:r>
        <w:t>El alcance comprende 15 rutas proporcionadas por el usuario y 2 controles de comparación. No se consultó el código fuente, configuración del servidor, repositorio o base de datos de la aplicación auditada. Los archivos locales de Insomnia se usaron únicamente para conservar solicitudes, respuestas y resultados de la herramienta.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7344"/>
      </w:tblGrid>
      <w:tr>
        <w:trPr>
          <w:tblHeader/>
          <w:cantSplit/>
        </w:trPr>
        <w:tc>
          <w:tcPr>
            <w:tcW w:type="dxa" w:w="2520"/>
          </w:tcPr>
          <w:p>
            <w:pPr>
              <w:spacing w:after="80" w:before="40"/>
            </w:pPr>
            <w:r>
              <w:rPr>
                <w:sz w:val="18"/>
              </w:rPr>
              <w:t>Respuesta observada</w:t>
            </w:r>
          </w:p>
        </w:tc>
        <w:tc>
          <w:tcPr>
            <w:tcW w:type="dxa" w:w="7344"/>
          </w:tcPr>
          <w:p>
            <w:pPr>
              <w:spacing w:after="80" w:before="40"/>
            </w:pPr>
            <w:r>
              <w:rPr>
                <w:sz w:val="18"/>
              </w:rPr>
              <w:t>Interpretación de auditoría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 w:before="40"/>
            </w:pPr>
            <w:r>
              <w:rPr>
                <w:sz w:val="18"/>
              </w:rPr>
              <w:t>401 / 403</w:t>
            </w:r>
          </w:p>
        </w:tc>
        <w:tc>
          <w:tcPr>
            <w:tcW w:type="dxa" w:w="7344"/>
          </w:tcPr>
          <w:p>
            <w:pPr>
              <w:spacing w:after="80" w:before="40"/>
            </w:pPr>
            <w:r>
              <w:rPr>
                <w:sz w:val="18"/>
              </w:rPr>
              <w:t>Bloqueo HTTP observado para esa solicitud; no demuestra por sí solo protección de todos los roles, funciones o métodos.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 w:before="40"/>
            </w:pPr>
            <w:r>
              <w:rPr>
                <w:sz w:val="18"/>
              </w:rPr>
              <w:t>404 / 405 / 3xx</w:t>
            </w:r>
          </w:p>
        </w:tc>
        <w:tc>
          <w:tcPr>
            <w:tcW w:type="dxa" w:w="7344"/>
          </w:tcPr>
          <w:p>
            <w:pPr>
              <w:spacing w:after="80" w:before="40"/>
            </w:pPr>
            <w:r>
              <w:rPr>
                <w:sz w:val="18"/>
              </w:rPr>
              <w:t>Recurso ausente u ocultado, método no permitido o redirección. No permiten un dictamen global. Las redirecciones se mantienen sin seguir.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 w:before="40"/>
            </w:pPr>
            <w:r>
              <w:rPr>
                <w:sz w:val="18"/>
              </w:rPr>
              <w:t>200 con HTML</w:t>
            </w:r>
          </w:p>
        </w:tc>
        <w:tc>
          <w:tcPr>
            <w:tcW w:type="dxa" w:w="7344"/>
          </w:tcPr>
          <w:p>
            <w:pPr>
              <w:spacing w:after="80" w:before="40"/>
            </w:pPr>
            <w:r>
              <w:rPr>
                <w:sz w:val="18"/>
              </w:rPr>
              <w:t>Inspeccionar el contenido. HTML puede contener datos privados; no se presume automáticamente que sea una SPA.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 w:before="40"/>
            </w:pPr>
            <w:r>
              <w:rPr>
                <w:sz w:val="18"/>
              </w:rPr>
              <w:t>200 con HTML idéntico a ambos controles y contenedor de aplicación vacío</w:t>
            </w:r>
          </w:p>
        </w:tc>
        <w:tc>
          <w:tcPr>
            <w:tcW w:type="dxa" w:w="7344"/>
          </w:tcPr>
          <w:p>
            <w:pPr>
              <w:spacing w:after="80" w:before="40"/>
            </w:pPr>
            <w:r>
              <w:rPr>
                <w:sz w:val="18"/>
              </w:rPr>
              <w:t>Evidencia de documento común de la SPA. No demuestra acceso al recurso protegido ni valida su API.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 w:before="40"/>
            </w:pPr>
            <w:r>
              <w:rPr>
                <w:sz w:val="18"/>
              </w:rPr>
              <w:t>2xx con JSON u otro contenido</w:t>
            </w:r>
          </w:p>
        </w:tc>
        <w:tc>
          <w:tcPr>
            <w:tcW w:type="dxa" w:w="7344"/>
          </w:tcPr>
          <w:p>
            <w:pPr>
              <w:spacing w:after="80" w:before="40"/>
            </w:pPr>
            <w:r>
              <w:rPr>
                <w:sz w:val="18"/>
              </w:rPr>
              <w:t>Revisar sensibilidad, política de acceso e identidad. El formato o el éxito HTTP por sí solos no confirman A01.</w:t>
            </w:r>
          </w:p>
        </w:tc>
      </w:tr>
    </w:tbl>
    <w:p>
      <w:pPr>
        <w:pStyle w:val="Heading1"/>
      </w:pPr>
      <w:r>
        <w:t>4. Procedimiento aplicado</w:t>
      </w:r>
    </w:p>
    <w:p>
      <w:pPr>
        <w:pStyle w:val="ListNumber"/>
      </w:pPr>
      <w:r>
        <w:t>Se preparó una colección local separada con 17 solicitudes GET. Sin credenciales, variables con tokens, encabezado Authorization ni Cookie. El envío y almacenamiento de cookies y el seguimiento de redirecciones están desactivados en cada solicitud.</w:t>
      </w:r>
    </w:p>
    <w:p>
      <w:pPr>
        <w:pStyle w:val="ListNumber"/>
      </w:pPr>
      <w:r>
        <w:t>Se ejecutó Python Requests con una sesión nueva por solicitud, trust_env=False, sin credenciales .netrc, con validación TLS y una pausa de 0,8 s entre solicitudes. Se guardaron cuerpos, cabeceras, tiempos y huellas SHA-256.</w:t>
      </w:r>
    </w:p>
    <w:p>
      <w:pPr>
        <w:pStyle w:val="ListNumber"/>
      </w:pPr>
      <w:r>
        <w:t>Se ejecutaron las mismas rutas en Insomnia con Pre-request de limpieza de cabeceras y After-response de clasificación. El timeline confirma la ausencia de Authorization y Cookie; la validación TLS se mantuvo activada.</w:t>
      </w:r>
    </w:p>
    <w:p>
      <w:pPr>
        <w:pStyle w:val="ListNumber"/>
      </w:pPr>
      <w:r>
        <w:t>Se capturaron Preview en modo Source Code, Headers y Tests para cada respuesta. Las imágenes provienen de la interfaz real y no fueron editadas. Se conservaron los resultados de los scripts y la traza HTTP de Insomnia.</w:t>
      </w:r>
    </w:p>
    <w:p>
      <w:pPr>
        <w:pStyle w:val="ListNumber"/>
      </w:pPr>
      <w:r>
        <w:t>Se compararon los bytes de los 34 cuerpos y se revisó el HTML común. Contiene metadatos públicos, JSON-LD promocional, un módulo JavaScript referenciado y un elemento div con id root vacío; no contiene listados privados de pedidos, clientes o inventario.</w:t>
      </w:r>
    </w:p>
    <w:p>
      <w:r>
        <w:t>Incidencia de ejecución: el primer intento de Python falló por resolución DNS dentro del entorno restringido, antes de obtener respuesta HTTP. Se conserva separado y no se incluye en las 34 respuestas válidas. La ejecución con acceso de red autorizado completó el lote.</w:t>
      </w:r>
    </w:p>
    <w:p>
      <w:pPr>
        <w:pStyle w:val="Heading1"/>
        <w:pageBreakBefore/>
      </w:pPr>
      <w:r>
        <w:t>5. Resultados consolidados por endpoint</w:t>
      </w:r>
    </w:p>
    <w:p>
      <w:r>
        <w:t>Todas las filas corresponden a GET sin autenticación y cuerpos de 7.541 bytes. Criterio esperado: no entregar datos protegidos al usuario anónimo. P/I indica el estado HTTP obtenido en Python e Insomnia. Cada ID vincula tres capturas y las evidencias originales.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3528"/>
        <w:gridCol w:w="979"/>
        <w:gridCol w:w="1195"/>
        <w:gridCol w:w="2736"/>
      </w:tblGrid>
      <w:tr>
        <w:trPr>
          <w:tblHeader/>
          <w:cantSplit/>
        </w:trPr>
        <w:tc>
          <w:tcPr>
            <w:tcW w:type="dxa" w:w="907"/>
          </w:tcPr>
          <w:p>
            <w:pPr>
              <w:spacing w:after="80" w:before="40"/>
            </w:pPr>
            <w:r>
              <w:rPr>
                <w:sz w:val="18"/>
              </w:rPr>
              <w:t>ID</w:t>
            </w:r>
          </w:p>
        </w:tc>
        <w:tc>
          <w:tcPr>
            <w:tcW w:type="dxa" w:w="3528"/>
          </w:tcPr>
          <w:p>
            <w:pPr>
              <w:spacing w:after="80" w:before="40"/>
            </w:pPr>
            <w:r>
              <w:rPr>
                <w:sz w:val="18"/>
              </w:rPr>
              <w:t>Endpoint</w:t>
            </w:r>
          </w:p>
        </w:tc>
        <w:tc>
          <w:tcPr>
            <w:tcW w:type="dxa" w:w="979"/>
          </w:tcPr>
          <w:p>
            <w:pPr>
              <w:spacing w:after="80" w:before="40"/>
            </w:pPr>
            <w:r>
              <w:rPr>
                <w:sz w:val="18"/>
              </w:rPr>
              <w:t>HTTP P/I</w:t>
            </w:r>
          </w:p>
        </w:tc>
        <w:tc>
          <w:tcPr>
            <w:tcW w:type="dxa" w:w="1195"/>
          </w:tcPr>
          <w:p>
            <w:pPr>
              <w:spacing w:after="80" w:before="40"/>
            </w:pPr>
            <w:r>
              <w:rPr>
                <w:sz w:val="18"/>
              </w:rPr>
              <w:t>Tipo</w:t>
            </w:r>
          </w:p>
        </w:tc>
        <w:tc>
          <w:tcPr>
            <w:tcW w:type="dxa" w:w="2736"/>
          </w:tcPr>
          <w:p>
            <w:pPr>
              <w:spacing w:after="80" w:before="40"/>
            </w:pPr>
            <w:r>
              <w:rPr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80" w:before="40"/>
            </w:pPr>
            <w:r>
              <w:rPr>
                <w:sz w:val="18"/>
              </w:rPr>
              <w:t>A01-01</w:t>
            </w:r>
          </w:p>
        </w:tc>
        <w:tc>
          <w:tcPr>
            <w:tcW w:type="dxa" w:w="3528"/>
          </w:tcPr>
          <w:p>
            <w:pPr>
              <w:spacing w:after="80" w:before="40"/>
            </w:pPr>
            <w:r>
              <w:rPr>
                <w:sz w:val="18"/>
              </w:rPr>
              <w:t>/pedidos</w:t>
            </w:r>
          </w:p>
        </w:tc>
        <w:tc>
          <w:tcPr>
            <w:tcW w:type="dxa" w:w="979"/>
          </w:tcPr>
          <w:p>
            <w:pPr>
              <w:spacing w:after="80" w:before="40"/>
            </w:pPr>
            <w:r>
              <w:rPr>
                <w:sz w:val="18"/>
              </w:rPr>
              <w:t>200/200</w:t>
            </w:r>
          </w:p>
        </w:tc>
        <w:tc>
          <w:tcPr>
            <w:tcW w:type="dxa" w:w="1195"/>
          </w:tcPr>
          <w:p>
            <w:pPr>
              <w:spacing w:after="80" w:before="40"/>
            </w:pPr>
            <w:r>
              <w:rPr>
                <w:sz w:val="18"/>
              </w:rPr>
              <w:t>text/html</w:t>
            </w:r>
          </w:p>
        </w:tc>
        <w:tc>
          <w:tcPr>
            <w:tcW w:type="dxa" w:w="2736"/>
          </w:tcPr>
          <w:p>
            <w:pPr>
              <w:spacing w:after="80" w:before="40"/>
            </w:pPr>
            <w:r>
              <w:rPr>
                <w:sz w:val="18"/>
              </w:rPr>
              <w:t>No concluyente / SPA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80" w:before="40"/>
            </w:pPr>
            <w:r>
              <w:rPr>
                <w:sz w:val="18"/>
              </w:rPr>
              <w:t>A01-02</w:t>
            </w:r>
          </w:p>
        </w:tc>
        <w:tc>
          <w:tcPr>
            <w:tcW w:type="dxa" w:w="3528"/>
          </w:tcPr>
          <w:p>
            <w:pPr>
              <w:spacing w:after="80" w:before="40"/>
            </w:pPr>
            <w:r>
              <w:rPr>
                <w:sz w:val="18"/>
              </w:rPr>
              <w:t>/mis-pedidos</w:t>
            </w:r>
          </w:p>
        </w:tc>
        <w:tc>
          <w:tcPr>
            <w:tcW w:type="dxa" w:w="979"/>
          </w:tcPr>
          <w:p>
            <w:pPr>
              <w:spacing w:after="80" w:before="40"/>
            </w:pPr>
            <w:r>
              <w:rPr>
                <w:sz w:val="18"/>
              </w:rPr>
              <w:t>200/200</w:t>
            </w:r>
          </w:p>
        </w:tc>
        <w:tc>
          <w:tcPr>
            <w:tcW w:type="dxa" w:w="1195"/>
          </w:tcPr>
          <w:p>
            <w:pPr>
              <w:spacing w:after="80" w:before="40"/>
            </w:pPr>
            <w:r>
              <w:rPr>
                <w:sz w:val="18"/>
              </w:rPr>
              <w:t>text/html</w:t>
            </w:r>
          </w:p>
        </w:tc>
        <w:tc>
          <w:tcPr>
            <w:tcW w:type="dxa" w:w="2736"/>
          </w:tcPr>
          <w:p>
            <w:pPr>
              <w:spacing w:after="80" w:before="40"/>
            </w:pPr>
            <w:r>
              <w:rPr>
                <w:sz w:val="18"/>
              </w:rPr>
              <w:t>No concluyente / SPA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80" w:before="40"/>
            </w:pPr>
            <w:r>
              <w:rPr>
                <w:sz w:val="18"/>
              </w:rPr>
              <w:t>A01-03</w:t>
            </w:r>
          </w:p>
        </w:tc>
        <w:tc>
          <w:tcPr>
            <w:tcW w:type="dxa" w:w="3528"/>
          </w:tcPr>
          <w:p>
            <w:pPr>
              <w:spacing w:after="80" w:before="40"/>
            </w:pPr>
            <w:r>
              <w:rPr>
                <w:sz w:val="18"/>
              </w:rPr>
              <w:t>/admin</w:t>
            </w:r>
          </w:p>
        </w:tc>
        <w:tc>
          <w:tcPr>
            <w:tcW w:type="dxa" w:w="979"/>
          </w:tcPr>
          <w:p>
            <w:pPr>
              <w:spacing w:after="80" w:before="40"/>
            </w:pPr>
            <w:r>
              <w:rPr>
                <w:sz w:val="18"/>
              </w:rPr>
              <w:t>200/200</w:t>
            </w:r>
          </w:p>
        </w:tc>
        <w:tc>
          <w:tcPr>
            <w:tcW w:type="dxa" w:w="1195"/>
          </w:tcPr>
          <w:p>
            <w:pPr>
              <w:spacing w:after="80" w:before="40"/>
            </w:pPr>
            <w:r>
              <w:rPr>
                <w:sz w:val="18"/>
              </w:rPr>
              <w:t>text/html</w:t>
            </w:r>
          </w:p>
        </w:tc>
        <w:tc>
          <w:tcPr>
            <w:tcW w:type="dxa" w:w="2736"/>
          </w:tcPr>
          <w:p>
            <w:pPr>
              <w:spacing w:after="80" w:before="40"/>
            </w:pPr>
            <w:r>
              <w:rPr>
                <w:sz w:val="18"/>
              </w:rPr>
              <w:t>No concluyente / SPA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80" w:before="40"/>
            </w:pPr>
            <w:r>
              <w:rPr>
                <w:sz w:val="18"/>
              </w:rPr>
              <w:t>A01-04</w:t>
            </w:r>
          </w:p>
        </w:tc>
        <w:tc>
          <w:tcPr>
            <w:tcW w:type="dxa" w:w="3528"/>
          </w:tcPr>
          <w:p>
            <w:pPr>
              <w:spacing w:after="80" w:before="40"/>
            </w:pPr>
            <w:r>
              <w:rPr>
                <w:sz w:val="18"/>
              </w:rPr>
              <w:t>/admin/usuarios</w:t>
            </w:r>
          </w:p>
        </w:tc>
        <w:tc>
          <w:tcPr>
            <w:tcW w:type="dxa" w:w="979"/>
          </w:tcPr>
          <w:p>
            <w:pPr>
              <w:spacing w:after="80" w:before="40"/>
            </w:pPr>
            <w:r>
              <w:rPr>
                <w:sz w:val="18"/>
              </w:rPr>
              <w:t>200/200</w:t>
            </w:r>
          </w:p>
        </w:tc>
        <w:tc>
          <w:tcPr>
            <w:tcW w:type="dxa" w:w="1195"/>
          </w:tcPr>
          <w:p>
            <w:pPr>
              <w:spacing w:after="80" w:before="40"/>
            </w:pPr>
            <w:r>
              <w:rPr>
                <w:sz w:val="18"/>
              </w:rPr>
              <w:t>text/html</w:t>
            </w:r>
          </w:p>
        </w:tc>
        <w:tc>
          <w:tcPr>
            <w:tcW w:type="dxa" w:w="2736"/>
          </w:tcPr>
          <w:p>
            <w:pPr>
              <w:spacing w:after="80" w:before="40"/>
            </w:pPr>
            <w:r>
              <w:rPr>
                <w:sz w:val="18"/>
              </w:rPr>
              <w:t>No concluyente / SPA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80" w:before="40"/>
            </w:pPr>
            <w:r>
              <w:rPr>
                <w:sz w:val="18"/>
              </w:rPr>
              <w:t>A01-05</w:t>
            </w:r>
          </w:p>
        </w:tc>
        <w:tc>
          <w:tcPr>
            <w:tcW w:type="dxa" w:w="3528"/>
          </w:tcPr>
          <w:p>
            <w:pPr>
              <w:spacing w:after="80" w:before="40"/>
            </w:pPr>
            <w:r>
              <w:rPr>
                <w:sz w:val="18"/>
              </w:rPr>
              <w:t>/admin/clientes</w:t>
            </w:r>
          </w:p>
        </w:tc>
        <w:tc>
          <w:tcPr>
            <w:tcW w:type="dxa" w:w="979"/>
          </w:tcPr>
          <w:p>
            <w:pPr>
              <w:spacing w:after="80" w:before="40"/>
            </w:pPr>
            <w:r>
              <w:rPr>
                <w:sz w:val="18"/>
              </w:rPr>
              <w:t>200/200</w:t>
            </w:r>
          </w:p>
        </w:tc>
        <w:tc>
          <w:tcPr>
            <w:tcW w:type="dxa" w:w="1195"/>
          </w:tcPr>
          <w:p>
            <w:pPr>
              <w:spacing w:after="80" w:before="40"/>
            </w:pPr>
            <w:r>
              <w:rPr>
                <w:sz w:val="18"/>
              </w:rPr>
              <w:t>text/html</w:t>
            </w:r>
          </w:p>
        </w:tc>
        <w:tc>
          <w:tcPr>
            <w:tcW w:type="dxa" w:w="2736"/>
          </w:tcPr>
          <w:p>
            <w:pPr>
              <w:spacing w:after="80" w:before="40"/>
            </w:pPr>
            <w:r>
              <w:rPr>
                <w:sz w:val="18"/>
              </w:rPr>
              <w:t>No concluyente / SPA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80" w:before="40"/>
            </w:pPr>
            <w:r>
              <w:rPr>
                <w:sz w:val="18"/>
              </w:rPr>
              <w:t>A01-06</w:t>
            </w:r>
          </w:p>
        </w:tc>
        <w:tc>
          <w:tcPr>
            <w:tcW w:type="dxa" w:w="3528"/>
          </w:tcPr>
          <w:p>
            <w:pPr>
              <w:spacing w:after="80" w:before="40"/>
            </w:pPr>
            <w:r>
              <w:rPr>
                <w:sz w:val="18"/>
              </w:rPr>
              <w:t>/admin/productos</w:t>
            </w:r>
          </w:p>
        </w:tc>
        <w:tc>
          <w:tcPr>
            <w:tcW w:type="dxa" w:w="979"/>
          </w:tcPr>
          <w:p>
            <w:pPr>
              <w:spacing w:after="80" w:before="40"/>
            </w:pPr>
            <w:r>
              <w:rPr>
                <w:sz w:val="18"/>
              </w:rPr>
              <w:t>200/200</w:t>
            </w:r>
          </w:p>
        </w:tc>
        <w:tc>
          <w:tcPr>
            <w:tcW w:type="dxa" w:w="1195"/>
          </w:tcPr>
          <w:p>
            <w:pPr>
              <w:spacing w:after="80" w:before="40"/>
            </w:pPr>
            <w:r>
              <w:rPr>
                <w:sz w:val="18"/>
              </w:rPr>
              <w:t>text/html</w:t>
            </w:r>
          </w:p>
        </w:tc>
        <w:tc>
          <w:tcPr>
            <w:tcW w:type="dxa" w:w="2736"/>
          </w:tcPr>
          <w:p>
            <w:pPr>
              <w:spacing w:after="80" w:before="40"/>
            </w:pPr>
            <w:r>
              <w:rPr>
                <w:sz w:val="18"/>
              </w:rPr>
              <w:t>No concluyente / SPA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80" w:before="40"/>
            </w:pPr>
            <w:r>
              <w:rPr>
                <w:sz w:val="18"/>
              </w:rPr>
              <w:t>A01-07</w:t>
            </w:r>
          </w:p>
        </w:tc>
        <w:tc>
          <w:tcPr>
            <w:tcW w:type="dxa" w:w="3528"/>
          </w:tcPr>
          <w:p>
            <w:pPr>
              <w:spacing w:after="80" w:before="40"/>
            </w:pPr>
            <w:r>
              <w:rPr>
                <w:sz w:val="18"/>
              </w:rPr>
              <w:t>/admin/pedidos</w:t>
            </w:r>
          </w:p>
        </w:tc>
        <w:tc>
          <w:tcPr>
            <w:tcW w:type="dxa" w:w="979"/>
          </w:tcPr>
          <w:p>
            <w:pPr>
              <w:spacing w:after="80" w:before="40"/>
            </w:pPr>
            <w:r>
              <w:rPr>
                <w:sz w:val="18"/>
              </w:rPr>
              <w:t>200/200</w:t>
            </w:r>
          </w:p>
        </w:tc>
        <w:tc>
          <w:tcPr>
            <w:tcW w:type="dxa" w:w="1195"/>
          </w:tcPr>
          <w:p>
            <w:pPr>
              <w:spacing w:after="80" w:before="40"/>
            </w:pPr>
            <w:r>
              <w:rPr>
                <w:sz w:val="18"/>
              </w:rPr>
              <w:t>text/html</w:t>
            </w:r>
          </w:p>
        </w:tc>
        <w:tc>
          <w:tcPr>
            <w:tcW w:type="dxa" w:w="2736"/>
          </w:tcPr>
          <w:p>
            <w:pPr>
              <w:spacing w:after="80" w:before="40"/>
            </w:pPr>
            <w:r>
              <w:rPr>
                <w:sz w:val="18"/>
              </w:rPr>
              <w:t>No concluyente / SPA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80" w:before="40"/>
            </w:pPr>
            <w:r>
              <w:rPr>
                <w:sz w:val="18"/>
              </w:rPr>
              <w:t>A01-08</w:t>
            </w:r>
          </w:p>
        </w:tc>
        <w:tc>
          <w:tcPr>
            <w:tcW w:type="dxa" w:w="3528"/>
          </w:tcPr>
          <w:p>
            <w:pPr>
              <w:spacing w:after="80" w:before="40"/>
            </w:pPr>
            <w:r>
              <w:rPr>
                <w:sz w:val="18"/>
              </w:rPr>
              <w:t>/admin/categorias</w:t>
            </w:r>
          </w:p>
        </w:tc>
        <w:tc>
          <w:tcPr>
            <w:tcW w:type="dxa" w:w="979"/>
          </w:tcPr>
          <w:p>
            <w:pPr>
              <w:spacing w:after="80" w:before="40"/>
            </w:pPr>
            <w:r>
              <w:rPr>
                <w:sz w:val="18"/>
              </w:rPr>
              <w:t>200/200</w:t>
            </w:r>
          </w:p>
        </w:tc>
        <w:tc>
          <w:tcPr>
            <w:tcW w:type="dxa" w:w="1195"/>
          </w:tcPr>
          <w:p>
            <w:pPr>
              <w:spacing w:after="80" w:before="40"/>
            </w:pPr>
            <w:r>
              <w:rPr>
                <w:sz w:val="18"/>
              </w:rPr>
              <w:t>text/html</w:t>
            </w:r>
          </w:p>
        </w:tc>
        <w:tc>
          <w:tcPr>
            <w:tcW w:type="dxa" w:w="2736"/>
          </w:tcPr>
          <w:p>
            <w:pPr>
              <w:spacing w:after="80" w:before="40"/>
            </w:pPr>
            <w:r>
              <w:rPr>
                <w:sz w:val="18"/>
              </w:rPr>
              <w:t>No concluyente / SPA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80" w:before="40"/>
            </w:pPr>
            <w:r>
              <w:rPr>
                <w:sz w:val="18"/>
              </w:rPr>
              <w:t>A01-09</w:t>
            </w:r>
          </w:p>
        </w:tc>
        <w:tc>
          <w:tcPr>
            <w:tcW w:type="dxa" w:w="3528"/>
          </w:tcPr>
          <w:p>
            <w:pPr>
              <w:spacing w:after="80" w:before="40"/>
            </w:pPr>
            <w:r>
              <w:rPr>
                <w:sz w:val="18"/>
              </w:rPr>
              <w:t>/inventario</w:t>
            </w:r>
          </w:p>
        </w:tc>
        <w:tc>
          <w:tcPr>
            <w:tcW w:type="dxa" w:w="979"/>
          </w:tcPr>
          <w:p>
            <w:pPr>
              <w:spacing w:after="80" w:before="40"/>
            </w:pPr>
            <w:r>
              <w:rPr>
                <w:sz w:val="18"/>
              </w:rPr>
              <w:t>200/200</w:t>
            </w:r>
          </w:p>
        </w:tc>
        <w:tc>
          <w:tcPr>
            <w:tcW w:type="dxa" w:w="1195"/>
          </w:tcPr>
          <w:p>
            <w:pPr>
              <w:spacing w:after="80" w:before="40"/>
            </w:pPr>
            <w:r>
              <w:rPr>
                <w:sz w:val="18"/>
              </w:rPr>
              <w:t>text/html</w:t>
            </w:r>
          </w:p>
        </w:tc>
        <w:tc>
          <w:tcPr>
            <w:tcW w:type="dxa" w:w="2736"/>
          </w:tcPr>
          <w:p>
            <w:pPr>
              <w:spacing w:after="80" w:before="40"/>
            </w:pPr>
            <w:r>
              <w:rPr>
                <w:sz w:val="18"/>
              </w:rPr>
              <w:t>No concluyente / SPA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80" w:before="40"/>
            </w:pPr>
            <w:r>
              <w:rPr>
                <w:sz w:val="18"/>
              </w:rPr>
              <w:t>A01-10</w:t>
            </w:r>
          </w:p>
        </w:tc>
        <w:tc>
          <w:tcPr>
            <w:tcW w:type="dxa" w:w="3528"/>
          </w:tcPr>
          <w:p>
            <w:pPr>
              <w:spacing w:after="80" w:before="40"/>
            </w:pPr>
            <w:r>
              <w:rPr>
                <w:sz w:val="18"/>
              </w:rPr>
              <w:t>/inventario/materias-primas</w:t>
            </w:r>
          </w:p>
        </w:tc>
        <w:tc>
          <w:tcPr>
            <w:tcW w:type="dxa" w:w="979"/>
          </w:tcPr>
          <w:p>
            <w:pPr>
              <w:spacing w:after="80" w:before="40"/>
            </w:pPr>
            <w:r>
              <w:rPr>
                <w:sz w:val="18"/>
              </w:rPr>
              <w:t>200/200</w:t>
            </w:r>
          </w:p>
        </w:tc>
        <w:tc>
          <w:tcPr>
            <w:tcW w:type="dxa" w:w="1195"/>
          </w:tcPr>
          <w:p>
            <w:pPr>
              <w:spacing w:after="80" w:before="40"/>
            </w:pPr>
            <w:r>
              <w:rPr>
                <w:sz w:val="18"/>
              </w:rPr>
              <w:t>text/html</w:t>
            </w:r>
          </w:p>
        </w:tc>
        <w:tc>
          <w:tcPr>
            <w:tcW w:type="dxa" w:w="2736"/>
          </w:tcPr>
          <w:p>
            <w:pPr>
              <w:spacing w:after="80" w:before="40"/>
            </w:pPr>
            <w:r>
              <w:rPr>
                <w:sz w:val="18"/>
              </w:rPr>
              <w:t>No concluyente / SPA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80" w:before="40"/>
            </w:pPr>
            <w:r>
              <w:rPr>
                <w:sz w:val="18"/>
              </w:rPr>
              <w:t>A01-11</w:t>
            </w:r>
          </w:p>
        </w:tc>
        <w:tc>
          <w:tcPr>
            <w:tcW w:type="dxa" w:w="3528"/>
          </w:tcPr>
          <w:p>
            <w:pPr>
              <w:spacing w:after="80" w:before="40"/>
            </w:pPr>
            <w:r>
              <w:rPr>
                <w:sz w:val="18"/>
              </w:rPr>
              <w:t>/inventario/producciones</w:t>
            </w:r>
          </w:p>
        </w:tc>
        <w:tc>
          <w:tcPr>
            <w:tcW w:type="dxa" w:w="979"/>
          </w:tcPr>
          <w:p>
            <w:pPr>
              <w:spacing w:after="80" w:before="40"/>
            </w:pPr>
            <w:r>
              <w:rPr>
                <w:sz w:val="18"/>
              </w:rPr>
              <w:t>200/200</w:t>
            </w:r>
          </w:p>
        </w:tc>
        <w:tc>
          <w:tcPr>
            <w:tcW w:type="dxa" w:w="1195"/>
          </w:tcPr>
          <w:p>
            <w:pPr>
              <w:spacing w:after="80" w:before="40"/>
            </w:pPr>
            <w:r>
              <w:rPr>
                <w:sz w:val="18"/>
              </w:rPr>
              <w:t>text/html</w:t>
            </w:r>
          </w:p>
        </w:tc>
        <w:tc>
          <w:tcPr>
            <w:tcW w:type="dxa" w:w="2736"/>
          </w:tcPr>
          <w:p>
            <w:pPr>
              <w:spacing w:after="80" w:before="40"/>
            </w:pPr>
            <w:r>
              <w:rPr>
                <w:sz w:val="18"/>
              </w:rPr>
              <w:t>No concluyente / SPA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80" w:before="40"/>
            </w:pPr>
            <w:r>
              <w:rPr>
                <w:sz w:val="18"/>
              </w:rPr>
              <w:t>A01-12</w:t>
            </w:r>
          </w:p>
        </w:tc>
        <w:tc>
          <w:tcPr>
            <w:tcW w:type="dxa" w:w="3528"/>
          </w:tcPr>
          <w:p>
            <w:pPr>
              <w:spacing w:after="80" w:before="40"/>
            </w:pPr>
            <w:r>
              <w:rPr>
                <w:sz w:val="18"/>
              </w:rPr>
              <w:t>/inventario/movimientos-caja</w:t>
            </w:r>
          </w:p>
        </w:tc>
        <w:tc>
          <w:tcPr>
            <w:tcW w:type="dxa" w:w="979"/>
          </w:tcPr>
          <w:p>
            <w:pPr>
              <w:spacing w:after="80" w:before="40"/>
            </w:pPr>
            <w:r>
              <w:rPr>
                <w:sz w:val="18"/>
              </w:rPr>
              <w:t>200/200</w:t>
            </w:r>
          </w:p>
        </w:tc>
        <w:tc>
          <w:tcPr>
            <w:tcW w:type="dxa" w:w="1195"/>
          </w:tcPr>
          <w:p>
            <w:pPr>
              <w:spacing w:after="80" w:before="40"/>
            </w:pPr>
            <w:r>
              <w:rPr>
                <w:sz w:val="18"/>
              </w:rPr>
              <w:t>text/html</w:t>
            </w:r>
          </w:p>
        </w:tc>
        <w:tc>
          <w:tcPr>
            <w:tcW w:type="dxa" w:w="2736"/>
          </w:tcPr>
          <w:p>
            <w:pPr>
              <w:spacing w:after="80" w:before="40"/>
            </w:pPr>
            <w:r>
              <w:rPr>
                <w:sz w:val="18"/>
              </w:rPr>
              <w:t>No concluyente / SPA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80" w:before="40"/>
            </w:pPr>
            <w:r>
              <w:rPr>
                <w:sz w:val="18"/>
              </w:rPr>
              <w:t>A01-13</w:t>
            </w:r>
          </w:p>
        </w:tc>
        <w:tc>
          <w:tcPr>
            <w:tcW w:type="dxa" w:w="3528"/>
          </w:tcPr>
          <w:p>
            <w:pPr>
              <w:spacing w:after="80" w:before="40"/>
            </w:pPr>
            <w:r>
              <w:rPr>
                <w:sz w:val="18"/>
              </w:rPr>
              <w:t>/user</w:t>
            </w:r>
          </w:p>
        </w:tc>
        <w:tc>
          <w:tcPr>
            <w:tcW w:type="dxa" w:w="979"/>
          </w:tcPr>
          <w:p>
            <w:pPr>
              <w:spacing w:after="80" w:before="40"/>
            </w:pPr>
            <w:r>
              <w:rPr>
                <w:sz w:val="18"/>
              </w:rPr>
              <w:t>200/200</w:t>
            </w:r>
          </w:p>
        </w:tc>
        <w:tc>
          <w:tcPr>
            <w:tcW w:type="dxa" w:w="1195"/>
          </w:tcPr>
          <w:p>
            <w:pPr>
              <w:spacing w:after="80" w:before="40"/>
            </w:pPr>
            <w:r>
              <w:rPr>
                <w:sz w:val="18"/>
              </w:rPr>
              <w:t>text/html</w:t>
            </w:r>
          </w:p>
        </w:tc>
        <w:tc>
          <w:tcPr>
            <w:tcW w:type="dxa" w:w="2736"/>
          </w:tcPr>
          <w:p>
            <w:pPr>
              <w:spacing w:after="80" w:before="40"/>
            </w:pPr>
            <w:r>
              <w:rPr>
                <w:sz w:val="18"/>
              </w:rPr>
              <w:t>No concluyente / SPA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80" w:before="40"/>
            </w:pPr>
            <w:r>
              <w:rPr>
                <w:sz w:val="18"/>
              </w:rPr>
              <w:t>A01-14</w:t>
            </w:r>
          </w:p>
        </w:tc>
        <w:tc>
          <w:tcPr>
            <w:tcW w:type="dxa" w:w="3528"/>
          </w:tcPr>
          <w:p>
            <w:pPr>
              <w:spacing w:after="80" w:before="40"/>
            </w:pPr>
            <w:r>
              <w:rPr>
                <w:sz w:val="18"/>
              </w:rPr>
              <w:t>/me</w:t>
            </w:r>
          </w:p>
        </w:tc>
        <w:tc>
          <w:tcPr>
            <w:tcW w:type="dxa" w:w="979"/>
          </w:tcPr>
          <w:p>
            <w:pPr>
              <w:spacing w:after="80" w:before="40"/>
            </w:pPr>
            <w:r>
              <w:rPr>
                <w:sz w:val="18"/>
              </w:rPr>
              <w:t>200/200</w:t>
            </w:r>
          </w:p>
        </w:tc>
        <w:tc>
          <w:tcPr>
            <w:tcW w:type="dxa" w:w="1195"/>
          </w:tcPr>
          <w:p>
            <w:pPr>
              <w:spacing w:after="80" w:before="40"/>
            </w:pPr>
            <w:r>
              <w:rPr>
                <w:sz w:val="18"/>
              </w:rPr>
              <w:t>text/html</w:t>
            </w:r>
          </w:p>
        </w:tc>
        <w:tc>
          <w:tcPr>
            <w:tcW w:type="dxa" w:w="2736"/>
          </w:tcPr>
          <w:p>
            <w:pPr>
              <w:spacing w:after="80" w:before="40"/>
            </w:pPr>
            <w:r>
              <w:rPr>
                <w:sz w:val="18"/>
              </w:rPr>
              <w:t>No concluyente / SPA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80" w:before="40"/>
            </w:pPr>
            <w:r>
              <w:rPr>
                <w:sz w:val="18"/>
              </w:rPr>
              <w:t>A01-15</w:t>
            </w:r>
          </w:p>
        </w:tc>
        <w:tc>
          <w:tcPr>
            <w:tcW w:type="dxa" w:w="3528"/>
          </w:tcPr>
          <w:p>
            <w:pPr>
              <w:spacing w:after="80" w:before="40"/>
            </w:pPr>
            <w:r>
              <w:rPr>
                <w:sz w:val="18"/>
              </w:rPr>
              <w:t>/profile</w:t>
            </w:r>
          </w:p>
        </w:tc>
        <w:tc>
          <w:tcPr>
            <w:tcW w:type="dxa" w:w="979"/>
          </w:tcPr>
          <w:p>
            <w:pPr>
              <w:spacing w:after="80" w:before="40"/>
            </w:pPr>
            <w:r>
              <w:rPr>
                <w:sz w:val="18"/>
              </w:rPr>
              <w:t>200/200</w:t>
            </w:r>
          </w:p>
        </w:tc>
        <w:tc>
          <w:tcPr>
            <w:tcW w:type="dxa" w:w="1195"/>
          </w:tcPr>
          <w:p>
            <w:pPr>
              <w:spacing w:after="80" w:before="40"/>
            </w:pPr>
            <w:r>
              <w:rPr>
                <w:sz w:val="18"/>
              </w:rPr>
              <w:t>text/html</w:t>
            </w:r>
          </w:p>
        </w:tc>
        <w:tc>
          <w:tcPr>
            <w:tcW w:type="dxa" w:w="2736"/>
          </w:tcPr>
          <w:p>
            <w:pPr>
              <w:spacing w:after="80" w:before="40"/>
            </w:pPr>
            <w:r>
              <w:rPr>
                <w:sz w:val="18"/>
              </w:rPr>
              <w:t>No concluyente / SPA</w:t>
            </w:r>
          </w:p>
        </w:tc>
      </w:tr>
    </w:tbl>
    <w:p>
      <w:pPr>
        <w:pStyle w:val="Heading2"/>
      </w:pPr>
      <w:r>
        <w:t>5.1. Controles de comparación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5904"/>
        <w:gridCol w:w="2592"/>
      </w:tblGrid>
      <w:tr>
        <w:trPr>
          <w:tblHeader/>
          <w:cantSplit/>
        </w:trPr>
        <w:tc>
          <w:tcPr>
            <w:tcW w:type="dxa" w:w="936"/>
          </w:tcPr>
          <w:p>
            <w:pPr>
              <w:spacing w:after="80" w:before="40"/>
            </w:pPr>
            <w:r>
              <w:rPr>
                <w:sz w:val="18"/>
              </w:rPr>
              <w:t>ID</w:t>
            </w:r>
          </w:p>
        </w:tc>
        <w:tc>
          <w:tcPr>
            <w:tcW w:type="dxa" w:w="5904"/>
          </w:tcPr>
          <w:p>
            <w:pPr>
              <w:spacing w:after="80" w:before="40"/>
            </w:pPr>
            <w:r>
              <w:rPr>
                <w:sz w:val="18"/>
              </w:rPr>
              <w:t>Ruta</w:t>
            </w:r>
          </w:p>
        </w:tc>
        <w:tc>
          <w:tcPr>
            <w:tcW w:type="dxa" w:w="2592"/>
          </w:tcPr>
          <w:p>
            <w:pPr>
              <w:spacing w:after="80" w:before="40"/>
            </w:pPr>
            <w:r>
              <w:rPr>
                <w:sz w:val="18"/>
              </w:rPr>
              <w:t>Obtenido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40"/>
            </w:pPr>
            <w:r>
              <w:rPr>
                <w:sz w:val="18"/>
              </w:rPr>
              <w:t>CTRL-01</w:t>
            </w:r>
          </w:p>
        </w:tc>
        <w:tc>
          <w:tcPr>
            <w:tcW w:type="dxa" w:w="5904"/>
          </w:tcPr>
          <w:p>
            <w:pPr>
              <w:spacing w:after="80" w:before="40"/>
            </w:pPr>
            <w:r>
              <w:rPr>
                <w:sz w:val="18"/>
              </w:rPr>
              <w:t>/</w:t>
            </w:r>
          </w:p>
        </w:tc>
        <w:tc>
          <w:tcPr>
            <w:tcW w:type="dxa" w:w="2592"/>
          </w:tcPr>
          <w:p>
            <w:pPr>
              <w:spacing w:after="80" w:before="40"/>
            </w:pPr>
            <w:r>
              <w:rPr>
                <w:sz w:val="18"/>
              </w:rPr>
              <w:t>200 HTML / 7.541 bytes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40"/>
            </w:pPr>
            <w:r>
              <w:rPr>
                <w:sz w:val="18"/>
              </w:rPr>
              <w:t>CTRL-02</w:t>
            </w:r>
          </w:p>
        </w:tc>
        <w:tc>
          <w:tcPr>
            <w:tcW w:type="dxa" w:w="5904"/>
          </w:tcPr>
          <w:p>
            <w:pPr>
              <w:spacing w:after="80" w:before="40"/>
            </w:pPr>
            <w:r>
              <w:rPr>
                <w:sz w:val="18"/>
              </w:rPr>
              <w:t>/__a01_control_inexistente_20261007_7e6a12</w:t>
            </w:r>
          </w:p>
        </w:tc>
        <w:tc>
          <w:tcPr>
            <w:tcW w:type="dxa" w:w="2592"/>
          </w:tcPr>
          <w:p>
            <w:pPr>
              <w:spacing w:after="80" w:before="40"/>
            </w:pPr>
            <w:r>
              <w:rPr>
                <w:sz w:val="18"/>
              </w:rPr>
              <w:t>200 HTML / 7.541 bytes</w:t>
            </w:r>
          </w:p>
        </w:tc>
      </w:tr>
    </w:tbl>
    <w:p>
      <w:r>
        <w:t>Los 34 cuerpos comparten la siguiente huella SHA-256:</w:t>
      </w:r>
    </w:p>
    <w:p>
      <w:r>
        <w:rPr>
          <w:rFonts w:ascii="Consolas" w:hAnsi="Consolas"/>
          <w:sz w:val="16"/>
        </w:rPr>
        <w:t>190646cf684af636c9eac7ea7ffbf2c76986f1d689146c6ff7fd15d8866584a7</w:t>
      </w:r>
    </w:p>
    <w:p>
      <w:r>
        <w:t>Conclusión técnica: se observó un documento HTML común incluso para el control inexistente. Se infiere un fallback de la SPA a partir del comportamiento externo; no se afirma haber inspeccionado la configuración del servidor.</w:t>
      </w:r>
    </w:p>
    <w:p>
      <w:pPr>
        <w:pStyle w:val="Heading1"/>
        <w:pageBreakBefore/>
      </w:pPr>
      <w:r>
        <w:t>6. Hallazgos, límites y pruebas pendientes</w:t>
      </w:r>
    </w:p>
    <w:p>
      <w:r>
        <w:t>OBS-A01-01 — Documento HTML común en rutas de navegación. Tipo: observación técnica, sin vulnerabilidad A01 confirmada. Severidad/CVSS: no asignados. Evidencia: matriz de resultados, comparación de cuerpos y capturas asociadas.</w:t>
      </w:r>
    </w:p>
    <w:p>
      <w:r>
        <w:t>El HTTP 200 observado no prueba que un usuario anónimo haya obtenido un pedido o información administrativa. No corresponde clasificar estas respuestas como “No cumple”. La ausencia de datos privados en el documento común tampoco acredita que la API aplique controles de acceso correctos; por ello no corresponde clasificarlas como “Cumple”.</w:t>
      </w:r>
    </w:p>
    <w:p>
      <w:pPr>
        <w:pStyle w:val="Heading2"/>
      </w:pPr>
      <w:r>
        <w:t>6.1. Cobertura no evaluada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7344"/>
      </w:tblGrid>
      <w:tr>
        <w:trPr>
          <w:tblHeader/>
          <w:cantSplit/>
        </w:trPr>
        <w:tc>
          <w:tcPr>
            <w:tcW w:type="dxa" w:w="2520"/>
          </w:tcPr>
          <w:p>
            <w:pPr>
              <w:spacing w:after="80" w:before="40"/>
            </w:pPr>
            <w:r>
              <w:rPr>
                <w:sz w:val="18"/>
              </w:rPr>
              <w:t>Prueba pendiente</w:t>
            </w:r>
          </w:p>
        </w:tc>
        <w:tc>
          <w:tcPr>
            <w:tcW w:type="dxa" w:w="7344"/>
          </w:tcPr>
          <w:p>
            <w:pPr>
              <w:spacing w:after="80" w:before="40"/>
            </w:pPr>
            <w:r>
              <w:rPr>
                <w:sz w:val="18"/>
              </w:rPr>
              <w:t>Estado y condición necesaria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 w:before="40"/>
            </w:pPr>
            <w:r>
              <w:rPr>
                <w:sz w:val="18"/>
              </w:rPr>
              <w:t>Acceso anónimo a APIs reales de datos</w:t>
            </w:r>
          </w:p>
        </w:tc>
        <w:tc>
          <w:tcPr>
            <w:tcW w:type="dxa" w:w="7344"/>
          </w:tcPr>
          <w:p>
            <w:pPr>
              <w:spacing w:after="80" w:before="40"/>
            </w:pPr>
            <w:r>
              <w:rPr>
                <w:sz w:val="18"/>
              </w:rPr>
              <w:t>Pendiente: identificar URLs y métodos a partir del tráfico normal del cliente o de documentación autorizada; las rutas de navegación no identifican por sí solas las APIs.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 w:before="40"/>
            </w:pPr>
            <w:r>
              <w:rPr>
                <w:sz w:val="18"/>
              </w:rPr>
              <w:t>Escalamiento vertical / BFLA</w:t>
            </w:r>
          </w:p>
        </w:tc>
        <w:tc>
          <w:tcPr>
            <w:tcW w:type="dxa" w:w="7344"/>
          </w:tcPr>
          <w:p>
            <w:pPr>
              <w:spacing w:after="80" w:before="40"/>
            </w:pPr>
            <w:r>
              <w:rPr>
                <w:sz w:val="18"/>
              </w:rPr>
              <w:t>No ejecutado por alcance acordado. Requiere una cuenta cliente válida y una función administrativa identificada. Primero confirmar que la sesión sea válida mediante un control positivo.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 w:before="40"/>
            </w:pPr>
            <w:r>
              <w:rPr>
                <w:sz w:val="18"/>
              </w:rPr>
              <w:t>IDOR / BOLA entre A y B</w:t>
            </w:r>
          </w:p>
        </w:tc>
        <w:tc>
          <w:tcPr>
            <w:tcW w:type="dxa" w:w="7344"/>
          </w:tcPr>
          <w:p>
            <w:pPr>
              <w:spacing w:after="80" w:before="40"/>
            </w:pPr>
            <w:r>
              <w:rPr>
                <w:sz w:val="18"/>
              </w:rPr>
              <w:t>No ejecutado por alcance acordado. Requiere dos cuentas propias y un objeto conocido de cada una; probar la lectura cruzada y contrastar con la lectura legítima.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 w:before="40"/>
            </w:pPr>
            <w:r>
              <w:rPr>
                <w:sz w:val="18"/>
              </w:rPr>
              <w:t>Manipulación de identificadores</w:t>
            </w:r>
          </w:p>
        </w:tc>
        <w:tc>
          <w:tcPr>
            <w:tcW w:type="dxa" w:w="7344"/>
          </w:tcPr>
          <w:p>
            <w:pPr>
              <w:spacing w:after="80" w:before="40"/>
            </w:pPr>
            <w:r>
              <w:rPr>
                <w:sz w:val="18"/>
              </w:rPr>
              <w:t>No ejecutada. Usar identificadores de objetos de prueba autorizados; no se realizó un barrido de IDs ajenos.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 w:before="40"/>
            </w:pPr>
            <w:r>
              <w:rPr>
                <w:sz w:val="18"/>
              </w:rPr>
              <w:t>Otros métodos y escenarios</w:t>
            </w:r>
          </w:p>
        </w:tc>
        <w:tc>
          <w:tcPr>
            <w:tcW w:type="dxa" w:w="7344"/>
          </w:tcPr>
          <w:p>
            <w:pPr>
              <w:spacing w:after="80" w:before="40"/>
            </w:pPr>
            <w:r>
              <w:rPr>
                <w:sz w:val="18"/>
              </w:rPr>
              <w:t>No evaluados: POST, PUT, PATCH, DELETE, sesiones autenticadas, cambios de roles, escritura, eliminación, endpoints no incluidos ni configuración interna.</w:t>
            </w:r>
          </w:p>
        </w:tc>
      </w:tr>
    </w:tbl>
    <w:p>
      <w:pPr>
        <w:pStyle w:val="Heading2"/>
      </w:pPr>
      <w:r>
        <w:t>6.2. Recomendaciones</w:t>
      </w:r>
    </w:p>
    <w:p>
      <w:pPr>
        <w:pStyle w:val="ListBullet"/>
      </w:pPr>
      <w:r>
        <w:t>Continuar en el mismo informe con endpoints de API observados y una matriz de permisos esperados por identidad, función y objeto.</w:t>
      </w:r>
    </w:p>
    <w:p>
      <w:pPr>
        <w:pStyle w:val="ListBullet"/>
      </w:pPr>
      <w:r>
        <w:t>Comprobar la autorización en el servidor para cada función y cada objeto protegido, además de cualquier restricción visual del frontend. Este es un criterio de evaluación recomendado por OWASP [R1], no una deficiencia comprobada en este sistema.</w:t>
      </w:r>
    </w:p>
    <w:p>
      <w:pPr>
        <w:pStyle w:val="ListBullet"/>
      </w:pPr>
      <w:r>
        <w:t>Cuando se amplíe el alcance, comparar la respuesta legítima del propietario con la respuesta de otra cuenta de prueba y con la del usuario anónimo. Conservar códigos, contenido pertinente y contexto sin incluir tokens en el informe.</w:t>
      </w:r>
    </w:p>
    <w:p>
      <w:pPr>
        <w:pStyle w:val="ListBullet"/>
      </w:pPr>
      <w:r>
        <w:t>Mantener el estado global “No concluyente” hasta reunir evidencia suficiente. Un acceso indebido confirmado justificaría “No cumple” para el control afectado; completar esta muestra sin hallazgos no equivale a certificar todo el sistema.</w:t>
      </w:r>
    </w:p>
    <w:p>
      <w:pPr>
        <w:pStyle w:val="Heading1"/>
        <w:pageBreakBefore/>
      </w:pPr>
      <w:r>
        <w:t>7. Evidencias y trazabilidad</w:t>
      </w:r>
    </w:p>
    <w:p>
      <w:r>
        <w:t>Python: 2026-10-07T00:20:11-04:00 a 2026-10-07T00:20:34-04:00. Insomnia (fecha de registro de respuestas): 07/10/2026 00:23:35 -0400 a 07/10/2026 00:26:46 -0400. Las horas de cada captura se encuentran en el índice, con desplazamiento UTC−04:00.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7344"/>
      </w:tblGrid>
      <w:tr>
        <w:trPr>
          <w:tblHeader/>
          <w:cantSplit/>
        </w:trPr>
        <w:tc>
          <w:tcPr>
            <w:tcW w:type="dxa" w:w="2520"/>
          </w:tcPr>
          <w:p>
            <w:pPr>
              <w:spacing w:after="80" w:before="40"/>
            </w:pPr>
            <w:r>
              <w:rPr>
                <w:sz w:val="18"/>
              </w:rPr>
              <w:t>Archivo o carpeta</w:t>
            </w:r>
          </w:p>
        </w:tc>
        <w:tc>
          <w:tcPr>
            <w:tcW w:type="dxa" w:w="7344"/>
          </w:tcPr>
          <w:p>
            <w:pPr>
              <w:spacing w:after="80" w:before="40"/>
            </w:pPr>
            <w:r>
              <w:rPr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 w:before="40"/>
            </w:pPr>
            <w:r>
              <w:rPr>
                <w:sz w:val="18"/>
              </w:rPr>
              <w:t>capturas/</w:t>
            </w:r>
          </w:p>
        </w:tc>
        <w:tc>
          <w:tcPr>
            <w:tcW w:type="dxa" w:w="7344"/>
          </w:tcPr>
          <w:p>
            <w:pPr>
              <w:spacing w:after="80" w:before="40"/>
            </w:pPr>
            <w:r>
              <w:rPr>
                <w:sz w:val="18"/>
              </w:rPr>
              <w:t>51 PNG originales: 3 por cada una de las 15 rutas y los 2 controles. Ejemplo: A01-02_preview.png, A01-02_headers.png y A01-02_tests.png.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 w:before="40"/>
            </w:pPr>
            <w:r>
              <w:rPr>
                <w:sz w:val="18"/>
              </w:rPr>
              <w:t>capturas/indice_capturas.json</w:t>
            </w:r>
          </w:p>
        </w:tc>
        <w:tc>
          <w:tcPr>
            <w:tcW w:type="dxa" w:w="7344"/>
          </w:tcPr>
          <w:p>
            <w:pPr>
              <w:spacing w:after="80" w:before="40"/>
            </w:pPr>
            <w:r>
              <w:rPr>
                <w:sz w:val="18"/>
              </w:rPr>
              <w:t>Relación URL, ID de solicitud/respuesta de Insomnia, vista, fecha de captura y hashes de respuesta e imagen.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 w:before="40"/>
            </w:pPr>
            <w:r>
              <w:rPr>
                <w:sz w:val="18"/>
              </w:rPr>
              <w:t>evidencias/insomnia/</w:t>
            </w:r>
          </w:p>
        </w:tc>
        <w:tc>
          <w:tcPr>
            <w:tcW w:type="dxa" w:w="7344"/>
          </w:tcPr>
          <w:p>
            <w:pPr>
              <w:spacing w:after="80" w:before="40"/>
            </w:pPr>
            <w:r>
              <w:rPr>
                <w:sz w:val="18"/>
              </w:rPr>
              <w:t>Por cada ID: cuerpo .body, cabeceras/resultados .response.json, solicitud .request.json, traza .timeline y textos de accesibilidad .ui.txt.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 w:before="40"/>
            </w:pPr>
            <w:r>
              <w:rPr>
                <w:sz w:val="18"/>
              </w:rPr>
              <w:t>Lote Python válido</w:t>
            </w:r>
          </w:p>
        </w:tc>
        <w:tc>
          <w:tcPr>
            <w:tcW w:type="dxa" w:w="7344"/>
          </w:tcPr>
          <w:p>
            <w:pPr>
              <w:spacing w:after="80" w:before="40"/>
            </w:pPr>
            <w:r>
              <w:rPr>
                <w:sz w:val="18"/>
              </w:rPr>
              <w:t>evidencias/python_20261007_002011/ — Resultados TXT, CSV y JSON; cuerpo y metadatos por solicitud.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 w:before="40"/>
            </w:pPr>
            <w:r>
              <w:rPr>
                <w:sz w:val="18"/>
              </w:rPr>
              <w:t>Resumen y tabla CSV</w:t>
            </w:r>
          </w:p>
        </w:tc>
        <w:tc>
          <w:tcPr>
            <w:tcW w:type="dxa" w:w="7344"/>
          </w:tcPr>
          <w:p>
            <w:pPr>
              <w:spacing w:after="80" w:before="40"/>
            </w:pPr>
            <w:r>
              <w:rPr>
                <w:sz w:val="18"/>
              </w:rPr>
              <w:t>evidencias/resumen_consolidado.json y evidencias/tabla_resultados_A01.csv: comparación entre herramientas.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 w:before="40"/>
            </w:pPr>
            <w:r>
              <w:rPr>
                <w:sz w:val="18"/>
              </w:rPr>
              <w:t>Colección de Insomnia</w:t>
            </w:r>
          </w:p>
        </w:tc>
        <w:tc>
          <w:tcPr>
            <w:tcW w:type="dxa" w:w="7344"/>
          </w:tcPr>
          <w:p>
            <w:pPr>
              <w:spacing w:after="80" w:before="40"/>
            </w:pPr>
            <w:r>
              <w:rPr>
                <w:sz w:val="18"/>
              </w:rPr>
              <w:t>coleccion_insomnia/A01_Nancy_anonimo.insomnia.json. Incluye Pre-request y After-response, sin credenciales.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 w:before="40"/>
            </w:pPr>
            <w:r>
              <w:rPr>
                <w:sz w:val="18"/>
              </w:rPr>
              <w:t>scripts/</w:t>
            </w:r>
          </w:p>
        </w:tc>
        <w:tc>
          <w:tcPr>
            <w:tcW w:type="dxa" w:w="7344"/>
          </w:tcPr>
          <w:p>
            <w:pPr>
              <w:spacing w:after="80" w:before="40"/>
            </w:pPr>
            <w:r>
              <w:rPr>
                <w:sz w:val="18"/>
              </w:rPr>
              <w:t>Enumeración acotada, scripts de Insomnia, automatización de capturas y generación del informe.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 w:before="40"/>
            </w:pPr>
            <w:r>
              <w:rPr>
                <w:sz w:val="18"/>
              </w:rPr>
              <w:t>MANIFIESTO_SHA256.txt</w:t>
            </w:r>
          </w:p>
        </w:tc>
        <w:tc>
          <w:tcPr>
            <w:tcW w:type="dxa" w:w="7344"/>
          </w:tcPr>
          <w:p>
            <w:pPr>
              <w:spacing w:after="80" w:before="40"/>
            </w:pPr>
            <w:r>
              <w:rPr>
                <w:sz w:val="18"/>
              </w:rPr>
              <w:t>Huellas de los archivos entregables para detectar cambios posteriores. No constituye certificación de fecha por un tercero.</w:t>
            </w:r>
          </w:p>
        </w:tc>
      </w:tr>
    </w:tbl>
    <w:p>
      <w:pPr>
        <w:pStyle w:val="Heading2"/>
      </w:pPr>
      <w:r>
        <w:t>7.1. Lectura correcta de las capturas</w:t>
      </w:r>
    </w:p>
    <w:p>
      <w:r>
        <w:t>Preview muestra el HTML recibido en modo Source Code, sin confundir la representación visual con datos de API. Headers muestra Content-Type y las cabeceras del servidor. Tests muestra 4/4 aserciones de registro aprobadas; la propia etiqueta aclara “no certifica A01”.</w:t>
      </w:r>
    </w:p>
    <w:p>
      <w:r>
        <w:t>La pestaña Auth muestra “Inherit from parent”; el perfil Scratch Pad no tiene credenciales de padre ni entorno con secretos. La ausencia efectiva de autenticación está comprobada en las cabeceras salientes del timeline y en la configuración de cada solicitud; no se deduce únicamente del icono de la interfaz.</w:t>
      </w:r>
    </w:p>
    <w:p>
      <w:r>
        <w:t>Las imágenes seleccionadas de las páginas siguientes son una muestra. La cobertura completa está en las 51 capturas externas. Para inspeccionar el texto pequeño, abrir el PNG original o ampliar el PDF. El informe previo hallado en la carpeta se conservó sin cambios y no se usó como evidencia de Panificadora Nancy.</w:t>
      </w:r>
    </w:p>
    <w:p>
      <w:pPr>
        <w:pStyle w:val="Heading1"/>
      </w:pPr>
      <w:r>
        <w:t>8. Referencias y cierre</w:t>
      </w:r>
    </w:p>
    <w:p>
      <w:r>
        <w:t>[R1] OWASP Top 10:2025 — A01 Broken Access Control. https://top10.owasp.org/2025/A01_2025-Broken_Access_Control/ (consulta: 07/10/2026).</w:t>
      </w:r>
    </w:p>
    <w:p>
      <w:r>
        <w:t>[R2] Kong — Scripts in Insomnia. https://developer.konghq.com/insomnia/scripts/ (consulta: 07/10/2026). Se emplearon sus interfaces de respuesta y pruebas para registrar la evidencia.</w:t>
      </w:r>
    </w:p>
    <w:p>
      <w:r>
        <w:t>Dictamen de esta fase: NO CONCLUYENTE PARA A01. Fallback HTML observado; ningún acceso indebido confirmado en las respuestas estudiadas; control de acceso de APIs y sesiones pendientes de evaluación.</w:t>
      </w:r>
    </w:p>
    <w:p>
      <w:pPr>
        <w:sectPr>
          <w:headerReference w:type="default" r:id="rId9"/>
          <w:footerReference w:type="default" r:id="rId10"/>
          <w:pgSz w:w="11909" w:h="16834"/>
          <w:pgMar w:top="1008" w:right="1008" w:bottom="936" w:left="1008" w:header="720" w:footer="720" w:gutter="0"/>
          <w:cols w:space="720"/>
          <w:docGrid w:linePitch="360"/>
        </w:sectPr>
      </w:pPr>
    </w:p>
    <w:p>
      <w:pPr>
        <w:pStyle w:val="Heading1"/>
      </w:pPr>
      <w:r>
        <w:t>E1 · /mis-pedidos — Preview del HTML</w:t>
      </w:r>
    </w:p>
    <w:p>
      <w:r>
        <w:t>La ruta devuelve un documento HTML con metadatos de la aplicación. El contenido completo se conserva como A01-02.body.</w:t>
      </w:r>
    </w:p>
    <w:p>
      <w:pPr>
        <w:spacing w:line="240" w:lineRule="auto" w:after="0"/>
      </w:pPr>
      <w:r>
        <w:drawing>
          <wp:inline xmlns:a="http://schemas.openxmlformats.org/drawingml/2006/main" xmlns:pic="http://schemas.openxmlformats.org/drawingml/2006/picture">
            <wp:extent cx="9464040" cy="49462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1-02_p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4946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Original: capturas/A01-02_preview.png · Capturada: 2026-10-07T00:24:54-04:00</w:t>
      </w:r>
    </w:p>
    <w:p>
      <w:pPr>
        <w:pStyle w:val="Heading1"/>
        <w:pageBreakBefore/>
      </w:pPr>
      <w:r>
        <w:t>E2 · /mis-pedidos — Cabeceras</w:t>
      </w:r>
    </w:p>
    <w:p>
      <w:r>
        <w:t>HTTP 200 y Content-Type text/html; el tamaño íntegro observado es de 7.541 bytes.</w:t>
      </w:r>
    </w:p>
    <w:p>
      <w:pPr>
        <w:spacing w:line="240" w:lineRule="auto" w:after="0"/>
      </w:pPr>
      <w:r>
        <w:drawing>
          <wp:inline xmlns:a="http://schemas.openxmlformats.org/drawingml/2006/main" xmlns:pic="http://schemas.openxmlformats.org/drawingml/2006/picture">
            <wp:extent cx="9464040" cy="49462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1-02_head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4946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Original: capturas/A01-02_headers.png · Capturada: 2026-10-07T00:24:54-04:00</w:t>
      </w:r>
    </w:p>
    <w:p>
      <w:pPr>
        <w:pStyle w:val="Heading1"/>
        <w:pageBreakBefore/>
      </w:pPr>
      <w:r>
        <w:t>E3 · /mis-pedidos — Tests After-response</w:t>
      </w:r>
    </w:p>
    <w:p>
      <w:r>
        <w:t>Los cuatro resultados PASS corresponden a instrumentación. La clasificación indica que el HTML no es concluyente para A01.</w:t>
      </w:r>
    </w:p>
    <w:p>
      <w:pPr>
        <w:spacing w:line="240" w:lineRule="auto" w:after="0"/>
      </w:pPr>
      <w:r>
        <w:drawing>
          <wp:inline xmlns:a="http://schemas.openxmlformats.org/drawingml/2006/main" xmlns:pic="http://schemas.openxmlformats.org/drawingml/2006/picture">
            <wp:extent cx="9464040" cy="49462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1-02_tes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4946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Original: capturas/A01-02_tests.png · Capturada: 2026-10-07T00:24:55-04:00</w:t>
      </w:r>
    </w:p>
    <w:p>
      <w:pPr>
        <w:pStyle w:val="Heading1"/>
        <w:pageBreakBefore/>
      </w:pPr>
      <w:r>
        <w:t>E4 · /admin/usuarios — Tests After-response</w:t>
      </w:r>
    </w:p>
    <w:p>
      <w:r>
        <w:t>Acceso anónimo a una ruta de navegación administrativa. El cuerpo coincide con el documento de la SPA, sin demostrar acceso a una API administrativa.</w:t>
      </w:r>
    </w:p>
    <w:p>
      <w:pPr>
        <w:spacing w:line="240" w:lineRule="auto" w:after="0"/>
      </w:pPr>
      <w:r>
        <w:drawing>
          <wp:inline xmlns:a="http://schemas.openxmlformats.org/drawingml/2006/main" xmlns:pic="http://schemas.openxmlformats.org/drawingml/2006/picture">
            <wp:extent cx="9464040" cy="49462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1-04_tes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4946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Original: capturas/A01-04_tests.png · Capturada: 2026-10-07T00:26:17-04:00</w:t>
      </w:r>
    </w:p>
    <w:p>
      <w:pPr>
        <w:pStyle w:val="Heading1"/>
        <w:pageBreakBefore/>
      </w:pPr>
      <w:r>
        <w:t>E5 · /inventario/movimientos-caja — Cabeceras</w:t>
      </w:r>
    </w:p>
    <w:p>
      <w:r>
        <w:t>La ruta de inventario muestra el mismo comportamiento HTTP/HTML. No se obtuvo un listado de movimientos de caja en el cuerpo observado.</w:t>
      </w:r>
    </w:p>
    <w:p>
      <w:pPr>
        <w:spacing w:line="240" w:lineRule="auto" w:after="0"/>
      </w:pPr>
      <w:r>
        <w:drawing>
          <wp:inline xmlns:a="http://schemas.openxmlformats.org/drawingml/2006/main" xmlns:pic="http://schemas.openxmlformats.org/drawingml/2006/picture">
            <wp:extent cx="9464040" cy="49462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1-12_head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4946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Original: capturas/A01-12_headers.png · Capturada: 2026-10-07T00:26:39-04:00</w:t>
      </w:r>
    </w:p>
    <w:p>
      <w:pPr>
        <w:pStyle w:val="Heading1"/>
        <w:pageBreakBefore/>
      </w:pPr>
      <w:r>
        <w:t>E6 · Ruta de control inexistente — Preview</w:t>
      </w:r>
    </w:p>
    <w:p>
      <w:r>
        <w:t>También recibe el documento común. La igualdad de SHA-256 con raíz y rutas evaluadas sustenta la inferencia de fallback.</w:t>
      </w:r>
    </w:p>
    <w:p>
      <w:pPr>
        <w:spacing w:line="240" w:lineRule="auto" w:after="0"/>
      </w:pPr>
      <w:r>
        <w:drawing>
          <wp:inline xmlns:a="http://schemas.openxmlformats.org/drawingml/2006/main" xmlns:pic="http://schemas.openxmlformats.org/drawingml/2006/picture">
            <wp:extent cx="9464040" cy="49462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RL-02_p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4946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Original: capturas/CTRL-02_preview.png · Capturada: 2026-10-07T00:25:20-04:00</w:t>
      </w:r>
    </w:p>
    <w:sectPr w:rsidR="00FC693F" w:rsidRPr="0006063C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Prueba externa · 07/10/2026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sz w:val="16"/>
      </w:rPr>
      <w:t>PANIFICADORA NANCY  /  AUDITORÍA DE SISTEMAS  /  A01:2025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D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3D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D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Prueba Sustantiva: Verificación de Controles de Acceso en Endpoints del Sistema – OWASP A01:2025</dc:title>
  <dc:subject>Prueba sustantiva de acceso anónimo: 15 rutas, 2 controles y evidencia de Insomnia</dc:subject>
  <dc:creator>Ejecución asistida por Codex a solicitud del usuario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