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after="200" w:line="240" w:lineRule="auto"/>
        <w:jc w:val="left"/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5745"/>
        <w:tblGridChange w:id="0">
          <w:tblGrid>
            <w:gridCol w:w="3255"/>
            <w:gridCol w:w="57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2">
            <w:pPr>
              <w:pageBreakBefore w:val="0"/>
              <w:widowControl w:val="0"/>
              <w:spacing w:line="240" w:lineRule="auto"/>
              <w:jc w:val="left"/>
              <w:rPr>
                <w:rFonts w:ascii="Fira Sans" w:cs="Fira Sans" w:eastAsia="Fira Sans" w:hAnsi="Fira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Fira Sans" w:cs="Fira Sans" w:eastAsia="Fira Sans" w:hAnsi="Fira Sans"/>
                <w:b w:val="1"/>
                <w:sz w:val="28"/>
                <w:szCs w:val="28"/>
              </w:rPr>
              <w:drawing>
                <wp:inline distB="0" distT="0" distL="0" distR="0">
                  <wp:extent cx="1775460" cy="578229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460" cy="57822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3">
            <w:pPr>
              <w:pageBreakBefore w:val="0"/>
              <w:widowControl w:val="0"/>
              <w:spacing w:line="240" w:lineRule="auto"/>
              <w:jc w:val="left"/>
              <w:rPr>
                <w:rFonts w:ascii="Fira Sans" w:cs="Fira Sans" w:eastAsia="Fira Sans" w:hAnsi="Fira Sans"/>
                <w:b w:val="1"/>
                <w:color w:val="0060a8"/>
                <w:sz w:val="28"/>
                <w:szCs w:val="28"/>
              </w:rPr>
            </w:pPr>
            <w:r w:rsidDel="00000000" w:rsidR="00000000" w:rsidRPr="00000000">
              <w:rPr>
                <w:rFonts w:ascii="Fira Sans" w:cs="Fira Sans" w:eastAsia="Fira Sans" w:hAnsi="Fira Sans"/>
                <w:b w:val="1"/>
                <w:color w:val="0060a8"/>
                <w:sz w:val="28"/>
                <w:szCs w:val="28"/>
                <w:rtl w:val="0"/>
              </w:rPr>
              <w:t xml:space="preserve">Técnico Universitario en Programación</w:t>
            </w:r>
          </w:p>
          <w:p w:rsidR="00000000" w:rsidDel="00000000" w:rsidP="00000000" w:rsidRDefault="00000000" w:rsidRPr="00000000" w14:paraId="00000004">
            <w:pPr>
              <w:pageBreakBefore w:val="0"/>
              <w:widowControl w:val="0"/>
              <w:spacing w:line="240" w:lineRule="auto"/>
              <w:jc w:val="left"/>
              <w:rPr>
                <w:rFonts w:ascii="Times New Roman" w:cs="Times New Roman" w:eastAsia="Times New Roman" w:hAnsi="Times New Roman"/>
                <w:color w:val="0060a8"/>
                <w:sz w:val="24"/>
                <w:szCs w:val="24"/>
              </w:rPr>
            </w:pPr>
            <w:r w:rsidDel="00000000" w:rsidR="00000000" w:rsidRPr="00000000">
              <w:rPr>
                <w:rFonts w:ascii="Fira Sans" w:cs="Fira Sans" w:eastAsia="Fira Sans" w:hAnsi="Fira Sans"/>
                <w:b w:val="1"/>
                <w:color w:val="0060a8"/>
                <w:sz w:val="28"/>
                <w:szCs w:val="28"/>
                <w:rtl w:val="0"/>
              </w:rPr>
              <w:t xml:space="preserve">Laboratorio de Computación II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pStyle w:val="Title"/>
        <w:pageBreakBefore w:val="0"/>
        <w:rPr>
          <w:sz w:val="26"/>
          <w:szCs w:val="26"/>
        </w:rPr>
      </w:pPr>
      <w:bookmarkStart w:colFirst="0" w:colLast="0" w:name="_z6ybhuq9dfuw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pageBreakBefore w:val="0"/>
        <w:rPr>
          <w:rFonts w:ascii="Fira Sans" w:cs="Fira Sans" w:eastAsia="Fira Sans" w:hAnsi="Fira Sans"/>
          <w:b w:val="1"/>
          <w:sz w:val="26"/>
          <w:szCs w:val="26"/>
        </w:rPr>
      </w:pPr>
      <w:bookmarkStart w:colFirst="0" w:colLast="0" w:name="_945rcv7k4kat" w:id="1"/>
      <w:bookmarkEnd w:id="1"/>
      <w:r w:rsidDel="00000000" w:rsidR="00000000" w:rsidRPr="00000000">
        <w:rPr>
          <w:sz w:val="26"/>
          <w:szCs w:val="26"/>
          <w:rtl w:val="0"/>
        </w:rPr>
        <w:t xml:space="preserve">Examen Final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ind w:left="0" w:firstLine="0"/>
        <w:jc w:val="left"/>
        <w:rPr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Duración: 2hs</w:t>
      </w:r>
    </w:p>
    <w:p w:rsidR="00000000" w:rsidDel="00000000" w:rsidP="00000000" w:rsidRDefault="00000000" w:rsidRPr="00000000" w14:paraId="00000009">
      <w:pPr>
        <w:widowControl w:val="0"/>
        <w:ind w:left="0" w:firstLine="0"/>
        <w:jc w:val="left"/>
        <w:rPr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jc w:val="left"/>
        <w:rPr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Para la resolución se pueden hacer uso de todas las funciones o métodos adicionales o atributos que consideres necesarios.</w:t>
            </w:r>
          </w:p>
          <w:p w:rsidR="00000000" w:rsidDel="00000000" w:rsidP="00000000" w:rsidRDefault="00000000" w:rsidRPr="00000000" w14:paraId="0000000C">
            <w:pPr>
              <w:widowControl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Para la entrega, arrastrar y soltar un archivo comprimido con el proyecto de su examen en el link </w:t>
            </w:r>
            <w:r w:rsidDel="00000000" w:rsidR="00000000" w:rsidRPr="00000000">
              <w:rPr>
                <w:b w:val="1"/>
                <w:rtl w:val="0"/>
              </w:rPr>
              <w:t xml:space="preserve">Examen Final - Entrega</w:t>
            </w:r>
            <w:r w:rsidDel="00000000" w:rsidR="00000000" w:rsidRPr="00000000">
              <w:rPr>
                <w:rtl w:val="0"/>
              </w:rPr>
              <w:t xml:space="preserve">. El programa debe compilar de lo contrario se considerará desaprobado.</w:t>
            </w:r>
          </w:p>
        </w:tc>
      </w:tr>
    </w:tbl>
    <w:p w:rsidR="00000000" w:rsidDel="00000000" w:rsidP="00000000" w:rsidRDefault="00000000" w:rsidRPr="00000000" w14:paraId="0000000D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El siguiente proyecto de C++ corresponde a un sistema que registra multas y agentes que realizaron dichas multas. Los clases están compuestas de la siguiente manera:</w:t>
      </w:r>
    </w:p>
    <w:p w:rsidR="00000000" w:rsidDel="00000000" w:rsidP="00000000" w:rsidRDefault="00000000" w:rsidRPr="00000000" w14:paraId="0000000F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Multa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char _patente[10];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int _idMulta;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Fecha _fechaMulta;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float _monto;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int _idAgente;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int _tipoInfraccion;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int _idLocalidad;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bool _pagada;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bool _eliminado;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Agente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int _idAgente;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char _apellidos[50];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char _nombres[50];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int _anioIngreso;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int _categoria;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float _sueldo;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jc w:val="left"/>
        <w:rPr/>
      </w:pPr>
      <w:r w:rsidDel="00000000" w:rsidR="00000000" w:rsidRPr="00000000">
        <w:rPr>
          <w:rtl w:val="0"/>
        </w:rPr>
        <w:t xml:space="preserve">Además, el proyecto incluye dos clases llamadas MultaArchivo y AgenteArchivo que tienen desarrolladas las funcionalidades de archivo básicas como leer, guardar, buscar por código, etc.</w:t>
      </w:r>
    </w:p>
    <w:p w:rsidR="00000000" w:rsidDel="00000000" w:rsidP="00000000" w:rsidRDefault="00000000" w:rsidRPr="00000000" w14:paraId="00000027">
      <w:pPr>
        <w:widowControl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ind w:left="0" w:firstLine="0"/>
        <w:jc w:val="left"/>
        <w:rPr>
          <w:sz w:val="4"/>
          <w:szCs w:val="4"/>
        </w:rPr>
      </w:pPr>
      <w:r w:rsidDel="00000000" w:rsidR="00000000" w:rsidRPr="00000000">
        <w:rPr>
          <w:rtl w:val="0"/>
        </w:rPr>
        <w:t xml:space="preserve">Haciendo uso del archivo con el proyecto de base que puede descargarse desde el Campus Virtual, realizar una clase Examen con los métodos Punto1, Punto2 y Punto 3. La clase puede tener todos los métodos privados que considere necesario pero únicamente los mencionados pueden figurar de manera pública.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276" w:lineRule="auto"/>
        <w:jc w:val="left"/>
        <w:rPr>
          <w:rFonts w:ascii="Fira Sans Condensed" w:cs="Fira Sans Condensed" w:eastAsia="Fira Sans Condensed" w:hAnsi="Fira Sans Condensed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76" w:lineRule="auto"/>
        <w:jc w:val="left"/>
        <w:rPr>
          <w:rFonts w:ascii="Fira Sans Condensed" w:cs="Fira Sans Condensed" w:eastAsia="Fira Sans Condensed" w:hAnsi="Fira Sans Condense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76" w:lineRule="auto"/>
        <w:jc w:val="left"/>
        <w:rPr>
          <w:rFonts w:ascii="Fira Sans Condensed" w:cs="Fira Sans Condensed" w:eastAsia="Fira Sans Condensed" w:hAnsi="Fira Sans Condense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76" w:lineRule="auto"/>
        <w:jc w:val="left"/>
        <w:rPr>
          <w:rFonts w:ascii="Fira Sans Condensed" w:cs="Fira Sans Condensed" w:eastAsia="Fira Sans Condensed" w:hAnsi="Fira Sans Condensed"/>
          <w:b w:val="1"/>
          <w:sz w:val="24"/>
          <w:szCs w:val="24"/>
        </w:rPr>
      </w:pPr>
      <w:r w:rsidDel="00000000" w:rsidR="00000000" w:rsidRPr="00000000">
        <w:rPr>
          <w:rFonts w:ascii="Fira Sans Condensed" w:cs="Fira Sans Condensed" w:eastAsia="Fira Sans Condensed" w:hAnsi="Fira Sans Condensed"/>
          <w:b w:val="1"/>
          <w:sz w:val="24"/>
          <w:szCs w:val="24"/>
          <w:rtl w:val="0"/>
        </w:rPr>
        <w:t xml:space="preserve">Para cada punto se pide calcular e informar</w:t>
      </w:r>
    </w:p>
    <w:tbl>
      <w:tblPr>
        <w:tblStyle w:val="Table4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"/>
        <w:gridCol w:w="8025"/>
        <w:gridCol w:w="540"/>
        <w:tblGridChange w:id="0">
          <w:tblGrid>
            <w:gridCol w:w="450"/>
            <w:gridCol w:w="8025"/>
            <w:gridCol w:w="5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left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Pts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Definir una bonificación anual para el año 2023 a partir de las multas labradas por los agentes. Las condiciones de las bonificación se detallan a continuación: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"/>
              <w:tblW w:w="772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660"/>
              <w:gridCol w:w="4065"/>
              <w:tblGridChange w:id="0">
                <w:tblGrid>
                  <w:gridCol w:w="3660"/>
                  <w:gridCol w:w="4065"/>
                </w:tblGrid>
              </w:tblGridChange>
            </w:tblGrid>
            <w:tr>
              <w:trPr>
                <w:cantSplit w:val="0"/>
                <w:trHeight w:val="46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Condición de bonificación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Bonificación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Hasta 5 multas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10% del sueldo y 5% del total de multas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7">
                  <w:pPr>
                    <w:widowControl w:val="0"/>
                    <w:spacing w:line="240" w:lineRule="auto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Más de 5 multas y hasta 10 multas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20% del sueldo y 40% del total de multas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9">
                  <w:pPr>
                    <w:widowControl w:val="0"/>
                    <w:spacing w:line="240" w:lineRule="auto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Más de 10 multas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100% del sueldo y 50% del total de multas</w:t>
                  </w:r>
                </w:p>
              </w:tc>
            </w:tr>
          </w:tbl>
          <w:p w:rsidR="00000000" w:rsidDel="00000000" w:rsidP="00000000" w:rsidRDefault="00000000" w:rsidRPr="00000000" w14:paraId="0000003B">
            <w:pPr>
              <w:widowControl w:val="0"/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Listar apellidos y nombres de los agentes, cantidad de multas realizadas y bonificación a otorgar. Solamente mostrar aquellos agentes que reciban bonificación.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Listar la cantidad de localidades que registren más multas pagadas que multas no pagadas.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76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Generar un archivo con las estadísticas anuales para cada uno de los años desde el 2000 hasta el año actual. Cada registro debe tener: Año, cantidad de multas realizadas, recaudación en concepto de multas y cantidad de multas que fueron eliminadas.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76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Luego de generar el archivo. Listarlo en su totalidad.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76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widowControl w:val="0"/>
        <w:ind w:left="0" w:firstLine="0"/>
        <w:jc w:val="left"/>
        <w:rPr/>
      </w:pPr>
      <w:r w:rsidDel="00000000" w:rsidR="00000000" w:rsidRPr="00000000">
        <w:rPr>
          <w:rtl w:val="0"/>
        </w:rPr>
      </w:r>
    </w:p>
    <w:sectPr>
      <w:footerReference r:id="rId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Fira Sans Condense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pageBreakBefore w:val="0"/>
      <w:jc w:val="right"/>
      <w:rPr/>
    </w:pPr>
    <w:r w:rsidDel="00000000" w:rsidR="00000000" w:rsidRPr="00000000">
      <w:rPr>
        <w:rtl w:val="0"/>
      </w:rPr>
      <w:t xml:space="preserve">Página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de </w:t>
    </w:r>
    <w:r w:rsidDel="00000000" w:rsidR="00000000" w:rsidRPr="00000000">
      <w:rPr/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2"/>
        <w:szCs w:val="22"/>
        <w:lang w:val="es_419"/>
      </w:rPr>
    </w:rPrDefault>
    <w:pPrDefault>
      <w:pPr>
        <w:spacing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</w:pPr>
    <w:rPr>
      <w:rFonts w:ascii="Fira Sans" w:cs="Fira Sans" w:eastAsia="Fira Sans" w:hAnsi="Fira Sans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FiraSansCondensed-italic.ttf"/><Relationship Id="rId10" Type="http://schemas.openxmlformats.org/officeDocument/2006/relationships/font" Target="fonts/FiraSansCondensed-bold.ttf"/><Relationship Id="rId12" Type="http://schemas.openxmlformats.org/officeDocument/2006/relationships/font" Target="fonts/FiraSansCondensed-boldItalic.ttf"/><Relationship Id="rId9" Type="http://schemas.openxmlformats.org/officeDocument/2006/relationships/font" Target="fonts/FiraSansCondensed-regular.ttf"/><Relationship Id="rId5" Type="http://schemas.openxmlformats.org/officeDocument/2006/relationships/font" Target="fonts/FiraSans-regular.ttf"/><Relationship Id="rId6" Type="http://schemas.openxmlformats.org/officeDocument/2006/relationships/font" Target="fonts/FiraSans-bold.ttf"/><Relationship Id="rId7" Type="http://schemas.openxmlformats.org/officeDocument/2006/relationships/font" Target="fonts/FiraSans-italic.ttf"/><Relationship Id="rId8" Type="http://schemas.openxmlformats.org/officeDocument/2006/relationships/font" Target="fonts/Fira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