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6A7F2" w14:textId="77777777" w:rsidR="00C84127" w:rsidRPr="005C44C0" w:rsidRDefault="00000000" w:rsidP="005C44C0">
      <w:pPr>
        <w:spacing w:after="60"/>
        <w:jc w:val="center"/>
        <w:rPr>
          <w:b/>
          <w:color w:val="00B0F0"/>
          <w:sz w:val="22"/>
          <w:szCs w:val="22"/>
          <w:u w:val="single"/>
          <w14:textOutline w14:w="0" w14:cap="flat" w14:cmpd="sng" w14:algn="ctr">
            <w14:noFill/>
            <w14:prstDash w14:val="solid"/>
            <w14:round/>
          </w14:textOutline>
        </w:rPr>
      </w:pPr>
      <w:r w:rsidRPr="005C44C0">
        <w:rPr>
          <w:b/>
          <w:color w:val="00B0F0"/>
          <w:sz w:val="40"/>
          <w:szCs w:val="40"/>
          <w:u w:val="single"/>
          <w14:textOutline w14:w="0" w14:cap="flat" w14:cmpd="sng" w14:algn="ctr">
            <w14:noFill/>
            <w14:prstDash w14:val="solid"/>
            <w14:round/>
          </w14:textOutline>
        </w:rPr>
        <w:t>Predicting Vehicle Fuel Efficiency (MPG)</w:t>
      </w:r>
    </w:p>
    <w:p w14:paraId="5C399DA7" w14:textId="77777777" w:rsidR="00C84127" w:rsidRPr="005C44C0" w:rsidRDefault="00000000">
      <w:pPr>
        <w:pStyle w:val="Heading1"/>
        <w:spacing w:before="320" w:after="140"/>
        <w:rPr>
          <w:color w:val="EE0000"/>
          <w:u w:val="single"/>
        </w:rPr>
      </w:pPr>
      <w:r w:rsidRPr="005C44C0">
        <w:rPr>
          <w:color w:val="EE0000"/>
          <w:u w:val="single"/>
        </w:rPr>
        <w:t>1. Summary of Data Preparation</w:t>
      </w:r>
    </w:p>
    <w:p w14:paraId="2961F8A5" w14:textId="77777777" w:rsidR="00C84127" w:rsidRDefault="00000000">
      <w:pPr>
        <w:spacing w:after="140"/>
        <w:jc w:val="both"/>
      </w:pPr>
      <w:r>
        <w:rPr>
          <w:sz w:val="21"/>
          <w:szCs w:val="21"/>
        </w:rPr>
        <w:t>The original dataset contained 398 observations across 9 columns: one target variable (mpg), one identifier (</w:t>
      </w:r>
      <w:proofErr w:type="spellStart"/>
      <w:r>
        <w:rPr>
          <w:sz w:val="21"/>
          <w:szCs w:val="21"/>
        </w:rPr>
        <w:t>car_name</w:t>
      </w:r>
      <w:proofErr w:type="spellEnd"/>
      <w:r>
        <w:rPr>
          <w:sz w:val="21"/>
          <w:szCs w:val="21"/>
        </w:rPr>
        <w:t xml:space="preserve">), and seven candidate features (cylinders, displacement, horsepower, weight, acceleration, </w:t>
      </w:r>
      <w:proofErr w:type="spellStart"/>
      <w:r>
        <w:rPr>
          <w:sz w:val="21"/>
          <w:szCs w:val="21"/>
        </w:rPr>
        <w:t>model_year</w:t>
      </w:r>
      <w:proofErr w:type="spellEnd"/>
      <w:r>
        <w:rPr>
          <w:sz w:val="21"/>
          <w:szCs w:val="21"/>
        </w:rPr>
        <w:t>, and origin).</w:t>
      </w:r>
    </w:p>
    <w:p w14:paraId="2E8C97C7" w14:textId="77777777" w:rsidR="00C84127" w:rsidRPr="005C44C0" w:rsidRDefault="00000000">
      <w:pPr>
        <w:pStyle w:val="Heading2"/>
        <w:spacing w:before="200" w:after="100"/>
        <w:rPr>
          <w:color w:val="FFC000"/>
        </w:rPr>
      </w:pPr>
      <w:r w:rsidRPr="005C44C0">
        <w:rPr>
          <w:color w:val="FFC000"/>
        </w:rPr>
        <w:t>Missing values and duplicates</w:t>
      </w:r>
    </w:p>
    <w:p w14:paraId="62A76BDB" w14:textId="77777777" w:rsidR="00C84127" w:rsidRDefault="00000000">
      <w:pPr>
        <w:spacing w:after="140"/>
        <w:jc w:val="both"/>
      </w:pPr>
      <w:r>
        <w:rPr>
          <w:sz w:val="21"/>
          <w:szCs w:val="21"/>
        </w:rPr>
        <w:t>The horsepower variable had 6 missing values (1.5% of the data). Given the negligible proportion and no identifiable pattern linking the missingness to other variables, these rows were dropped rather than imputed, reducing the dataset to 392 rows. No duplicate records were found.</w:t>
      </w:r>
    </w:p>
    <w:p w14:paraId="4BE1A419" w14:textId="77777777" w:rsidR="00C84127" w:rsidRPr="005C44C0" w:rsidRDefault="00000000">
      <w:pPr>
        <w:pStyle w:val="Heading2"/>
        <w:spacing w:before="200" w:after="100"/>
        <w:rPr>
          <w:color w:val="FFC000"/>
        </w:rPr>
      </w:pPr>
      <w:r w:rsidRPr="005C44C0">
        <w:rPr>
          <w:color w:val="FFC000"/>
        </w:rPr>
        <w:t>Car brand extraction</w:t>
      </w:r>
    </w:p>
    <w:p w14:paraId="2A61305F" w14:textId="77777777" w:rsidR="00C84127" w:rsidRDefault="00000000">
      <w:pPr>
        <w:spacing w:after="140"/>
        <w:jc w:val="both"/>
      </w:pPr>
      <w:r>
        <w:rPr>
          <w:sz w:val="21"/>
          <w:szCs w:val="21"/>
        </w:rPr>
        <w:t xml:space="preserve">The </w:t>
      </w:r>
      <w:proofErr w:type="spellStart"/>
      <w:r>
        <w:rPr>
          <w:sz w:val="21"/>
          <w:szCs w:val="21"/>
        </w:rPr>
        <w:t>car_name</w:t>
      </w:r>
      <w:proofErr w:type="spellEnd"/>
      <w:r>
        <w:rPr>
          <w:sz w:val="21"/>
          <w:szCs w:val="21"/>
        </w:rPr>
        <w:t xml:space="preserve"> identifier was transformed into a brand-only field to test its potential as a predictor. Spelling inconsistencies (e.g., "</w:t>
      </w:r>
      <w:proofErr w:type="spellStart"/>
      <w:r>
        <w:rPr>
          <w:sz w:val="21"/>
          <w:szCs w:val="21"/>
        </w:rPr>
        <w:t>chevroelt</w:t>
      </w:r>
      <w:proofErr w:type="spellEnd"/>
      <w:r>
        <w:rPr>
          <w:sz w:val="21"/>
          <w:szCs w:val="21"/>
        </w:rPr>
        <w:t>" vs. "</w:t>
      </w:r>
      <w:proofErr w:type="spellStart"/>
      <w:r>
        <w:rPr>
          <w:sz w:val="21"/>
          <w:szCs w:val="21"/>
        </w:rPr>
        <w:t>chevrolet</w:t>
      </w:r>
      <w:proofErr w:type="spellEnd"/>
      <w:r>
        <w:rPr>
          <w:sz w:val="21"/>
          <w:szCs w:val="21"/>
        </w:rPr>
        <w:t>", "</w:t>
      </w:r>
      <w:proofErr w:type="spellStart"/>
      <w:r>
        <w:rPr>
          <w:sz w:val="21"/>
          <w:szCs w:val="21"/>
        </w:rPr>
        <w:t>vw</w:t>
      </w:r>
      <w:proofErr w:type="spellEnd"/>
      <w:r>
        <w:rPr>
          <w:sz w:val="21"/>
          <w:szCs w:val="21"/>
        </w:rPr>
        <w:t>" vs. "</w:t>
      </w:r>
      <w:proofErr w:type="spellStart"/>
      <w:r>
        <w:rPr>
          <w:sz w:val="21"/>
          <w:szCs w:val="21"/>
        </w:rPr>
        <w:t>volkswagen</w:t>
      </w:r>
      <w:proofErr w:type="spellEnd"/>
      <w:r>
        <w:rPr>
          <w:sz w:val="21"/>
          <w:szCs w:val="21"/>
        </w:rPr>
        <w:t>", "</w:t>
      </w:r>
      <w:proofErr w:type="spellStart"/>
      <w:r>
        <w:rPr>
          <w:sz w:val="21"/>
          <w:szCs w:val="21"/>
        </w:rPr>
        <w:t>maxda</w:t>
      </w:r>
      <w:proofErr w:type="spellEnd"/>
      <w:r>
        <w:rPr>
          <w:sz w:val="21"/>
          <w:szCs w:val="21"/>
        </w:rPr>
        <w:t>" vs. "</w:t>
      </w:r>
      <w:proofErr w:type="spellStart"/>
      <w:r>
        <w:rPr>
          <w:sz w:val="21"/>
          <w:szCs w:val="21"/>
        </w:rPr>
        <w:t>mazda</w:t>
      </w:r>
      <w:proofErr w:type="spellEnd"/>
      <w:r>
        <w:rPr>
          <w:sz w:val="21"/>
          <w:szCs w:val="21"/>
        </w:rPr>
        <w:t>") were corrected to ensure consistent brand grouping.</w:t>
      </w:r>
    </w:p>
    <w:p w14:paraId="6D896574" w14:textId="77777777" w:rsidR="00C84127" w:rsidRPr="005C44C0" w:rsidRDefault="00000000">
      <w:pPr>
        <w:pStyle w:val="Heading2"/>
        <w:spacing w:before="200" w:after="100"/>
        <w:rPr>
          <w:color w:val="FFC000"/>
        </w:rPr>
      </w:pPr>
      <w:r w:rsidRPr="005C44C0">
        <w:rPr>
          <w:color w:val="FFC000"/>
        </w:rPr>
        <w:t>Outlier treatment</w:t>
      </w:r>
    </w:p>
    <w:p w14:paraId="4B061524" w14:textId="77777777" w:rsidR="00C84127" w:rsidRDefault="00000000">
      <w:pPr>
        <w:spacing w:after="140"/>
        <w:jc w:val="both"/>
      </w:pPr>
      <w:r>
        <w:rPr>
          <w:sz w:val="21"/>
          <w:szCs w:val="21"/>
        </w:rPr>
        <w:t>Univariate outliers (IQR method) were found only in horsepower (10 cases, ~3%) and acceleration (11 cases, ~3%). Most reflected legitimate high-performance or low-performance vehicles rather than data errors. Three exceptions — high-horsepower, 8-cylinder cars with unusually fast acceleration — were judged genuinely atypical and removed (392 → 389 rows).</w:t>
      </w:r>
    </w:p>
    <w:p w14:paraId="4365E59D" w14:textId="77777777" w:rsidR="00C84127" w:rsidRDefault="00000000">
      <w:pPr>
        <w:spacing w:after="140"/>
        <w:jc w:val="both"/>
      </w:pPr>
      <w:r>
        <w:rPr>
          <w:sz w:val="21"/>
          <w:szCs w:val="21"/>
        </w:rPr>
        <w:t>A second, feature-target relationship outlier check was performed using regression residuals for displacement, horsepower, and weight against mpg. Observations whose residuals fell clearly outside the IQR bounds (beyond a 1-unit buffer, to avoid discarding borderline cases) were removed: 17 unique rows from the original-scale dataset (389 → 372) and 18 from a log-transformed version of displacement and horsepower (389 → 371).</w:t>
      </w:r>
    </w:p>
    <w:p w14:paraId="37268237" w14:textId="77777777" w:rsidR="00C84127" w:rsidRPr="005C44C0" w:rsidRDefault="00000000">
      <w:pPr>
        <w:pStyle w:val="Heading2"/>
        <w:spacing w:before="200" w:after="100"/>
        <w:rPr>
          <w:color w:val="FFC000"/>
        </w:rPr>
      </w:pPr>
      <w:r w:rsidRPr="005C44C0">
        <w:rPr>
          <w:color w:val="FFC000"/>
        </w:rPr>
        <w:t>Log transformation</w:t>
      </w:r>
    </w:p>
    <w:p w14:paraId="5B5E4B13" w14:textId="77777777" w:rsidR="00C84127" w:rsidRDefault="00000000">
      <w:pPr>
        <w:spacing w:after="140"/>
        <w:jc w:val="both"/>
      </w:pPr>
      <w:r>
        <w:rPr>
          <w:sz w:val="21"/>
          <w:szCs w:val="21"/>
        </w:rPr>
        <w:t xml:space="preserve">Because displacement and horsepower were right-skewed, a log transformation was applied to create a second, parallel dataset. Both the original-scale and log-transformed datasets were carried forward so that downstream models could be evaluated against each. The transformation reduced the number of residual-based outliers only marginally </w:t>
      </w:r>
      <w:proofErr w:type="gramStart"/>
      <w:r>
        <w:rPr>
          <w:sz w:val="21"/>
          <w:szCs w:val="21"/>
        </w:rPr>
        <w:t>and,</w:t>
      </w:r>
      <w:proofErr w:type="gramEnd"/>
      <w:r>
        <w:rPr>
          <w:sz w:val="21"/>
          <w:szCs w:val="21"/>
        </w:rPr>
        <w:t xml:space="preserve"> as detailed in Section 3, did not improve predictive performance.</w:t>
      </w:r>
    </w:p>
    <w:p w14:paraId="4B73029A" w14:textId="77777777" w:rsidR="00C84127" w:rsidRPr="005C44C0" w:rsidRDefault="00000000">
      <w:pPr>
        <w:pStyle w:val="Heading2"/>
        <w:spacing w:before="200" w:after="100"/>
        <w:rPr>
          <w:color w:val="FFC000"/>
        </w:rPr>
      </w:pPr>
      <w:proofErr w:type="gramStart"/>
      <w:r w:rsidRPr="005C44C0">
        <w:rPr>
          <w:color w:val="FFC000"/>
        </w:rPr>
        <w:t>Train-test</w:t>
      </w:r>
      <w:proofErr w:type="gramEnd"/>
      <w:r w:rsidRPr="005C44C0">
        <w:rPr>
          <w:color w:val="FFC000"/>
        </w:rPr>
        <w:t xml:space="preserve"> split</w:t>
      </w:r>
    </w:p>
    <w:p w14:paraId="16379A9A" w14:textId="77777777" w:rsidR="00C84127" w:rsidRDefault="00000000">
      <w:pPr>
        <w:spacing w:after="140"/>
        <w:jc w:val="both"/>
      </w:pPr>
      <w:r>
        <w:rPr>
          <w:sz w:val="21"/>
          <w:szCs w:val="21"/>
        </w:rPr>
        <w:t>The data was split 80/20 into training and test sets (</w:t>
      </w:r>
      <w:proofErr w:type="spellStart"/>
      <w:r>
        <w:rPr>
          <w:sz w:val="21"/>
          <w:szCs w:val="21"/>
        </w:rPr>
        <w:t>random_state</w:t>
      </w:r>
      <w:proofErr w:type="spellEnd"/>
      <w:r>
        <w:rPr>
          <w:sz w:val="21"/>
          <w:szCs w:val="21"/>
        </w:rPr>
        <w:t xml:space="preserve">=789), since the dataset size was too small to justify a separate train-validation-test split. This produced 297 training and 75 test rows for the original dataset (296/75 for the </w:t>
      </w:r>
      <w:proofErr w:type="gramStart"/>
      <w:r>
        <w:rPr>
          <w:sz w:val="21"/>
          <w:szCs w:val="21"/>
        </w:rPr>
        <w:t>log</w:t>
      </w:r>
      <w:proofErr w:type="gramEnd"/>
      <w:r>
        <w:rPr>
          <w:sz w:val="21"/>
          <w:szCs w:val="21"/>
        </w:rPr>
        <w:t>-transformed version). All feature selection, correlation analysis, and hyperparameter tuning were performed exclusively on the training set, with the test set held out for a single, final evaluation.</w:t>
      </w:r>
    </w:p>
    <w:p w14:paraId="6E32B273" w14:textId="77777777" w:rsidR="00C84127" w:rsidRPr="005C44C0" w:rsidRDefault="00000000">
      <w:pPr>
        <w:pStyle w:val="Heading1"/>
        <w:spacing w:before="320" w:after="140"/>
        <w:rPr>
          <w:color w:val="EE0000"/>
          <w:u w:val="single"/>
        </w:rPr>
      </w:pPr>
      <w:r w:rsidRPr="005C44C0">
        <w:rPr>
          <w:color w:val="EE0000"/>
          <w:u w:val="single"/>
        </w:rPr>
        <w:t>2. Feature Analysis and Selection</w:t>
      </w:r>
    </w:p>
    <w:p w14:paraId="29F4E1EF" w14:textId="77777777" w:rsidR="00C84127" w:rsidRDefault="00000000">
      <w:pPr>
        <w:spacing w:after="140"/>
        <w:jc w:val="both"/>
      </w:pPr>
      <w:r>
        <w:rPr>
          <w:sz w:val="21"/>
          <w:szCs w:val="21"/>
        </w:rPr>
        <w:t xml:space="preserve">Correlation analysis (Pearson for continuous variables, Spearman for the full matrix) showed that weight, displacement, horsepower, and cylinders all have a strong negative association with </w:t>
      </w:r>
      <w:proofErr w:type="gramStart"/>
      <w:r>
        <w:rPr>
          <w:sz w:val="21"/>
          <w:szCs w:val="21"/>
        </w:rPr>
        <w:t>mpg, and</w:t>
      </w:r>
      <w:proofErr w:type="gramEnd"/>
      <w:r>
        <w:rPr>
          <w:sz w:val="21"/>
          <w:szCs w:val="21"/>
        </w:rPr>
        <w:t xml:space="preserve"> are also highly correlated with each other (multicollinearity). Acceleration showed a weaker positive association, and </w:t>
      </w:r>
      <w:proofErr w:type="spellStart"/>
      <w:r>
        <w:rPr>
          <w:sz w:val="21"/>
          <w:szCs w:val="21"/>
        </w:rPr>
        <w:t>model_year</w:t>
      </w:r>
      <w:proofErr w:type="spellEnd"/>
      <w:r>
        <w:rPr>
          <w:sz w:val="21"/>
          <w:szCs w:val="21"/>
        </w:rPr>
        <w:t xml:space="preserve"> a moderate positive association (newer cars tend to be more fuel-efficient). Origin showed a mild trend — U.S.-manufactured cars were, on average, less efficient — but with limited individual predictive contribution. </w:t>
      </w:r>
      <w:proofErr w:type="spellStart"/>
      <w:r>
        <w:rPr>
          <w:sz w:val="21"/>
          <w:szCs w:val="21"/>
        </w:rPr>
        <w:t>car_name</w:t>
      </w:r>
      <w:proofErr w:type="spellEnd"/>
      <w:r>
        <w:rPr>
          <w:sz w:val="21"/>
          <w:szCs w:val="21"/>
        </w:rPr>
        <w:t xml:space="preserve"> (brand) showed no meaningful relationship with mpg and was excluded from modeling.</w:t>
      </w:r>
    </w:p>
    <w:p w14:paraId="328C66EA" w14:textId="77777777" w:rsidR="00C84127" w:rsidRPr="005C44C0" w:rsidRDefault="00000000">
      <w:pPr>
        <w:pStyle w:val="Heading2"/>
        <w:spacing w:before="200" w:after="100"/>
        <w:rPr>
          <w:color w:val="FFC000"/>
        </w:rPr>
      </w:pPr>
      <w:r w:rsidRPr="005C44C0">
        <w:rPr>
          <w:color w:val="FFC000"/>
        </w:rPr>
        <w:t>Model-specific feature selection strategy</w:t>
      </w:r>
    </w:p>
    <w:p w14:paraId="4F54F7B9" w14:textId="77777777" w:rsidR="00C84127" w:rsidRDefault="00000000">
      <w:pPr>
        <w:spacing w:after="140"/>
        <w:jc w:val="both"/>
      </w:pPr>
      <w:r>
        <w:rPr>
          <w:sz w:val="21"/>
          <w:szCs w:val="21"/>
        </w:rPr>
        <w:t>Because the three models handle correlated predictors differently, a tailored strategy was used for each:</w:t>
      </w:r>
    </w:p>
    <w:p w14:paraId="09B05073" w14:textId="77777777" w:rsidR="00C84127" w:rsidRDefault="00000000">
      <w:pPr>
        <w:pStyle w:val="ListParagraph"/>
        <w:numPr>
          <w:ilvl w:val="0"/>
          <w:numId w:val="1"/>
        </w:numPr>
        <w:spacing w:after="80"/>
      </w:pPr>
      <w:r>
        <w:rPr>
          <w:b/>
          <w:bCs/>
          <w:sz w:val="21"/>
          <w:szCs w:val="21"/>
        </w:rPr>
        <w:lastRenderedPageBreak/>
        <w:t xml:space="preserve">Linear Regression: </w:t>
      </w:r>
      <w:r>
        <w:rPr>
          <w:sz w:val="21"/>
          <w:szCs w:val="21"/>
        </w:rPr>
        <w:t xml:space="preserve">cylinders, horsepower, and displacement were dropped before training to avoid multicollinearity and redundancy, since weight captures essentially the same signal. SHAP analysis on the remaining five features confirmed that weight and </w:t>
      </w:r>
      <w:proofErr w:type="spellStart"/>
      <w:r>
        <w:rPr>
          <w:sz w:val="21"/>
          <w:szCs w:val="21"/>
        </w:rPr>
        <w:t>model_year</w:t>
      </w:r>
      <w:proofErr w:type="spellEnd"/>
      <w:r>
        <w:rPr>
          <w:sz w:val="21"/>
          <w:szCs w:val="21"/>
        </w:rPr>
        <w:t xml:space="preserve"> carried the highest contribution, so acceleration and origin were also dropped, leaving a final two-feature model.</w:t>
      </w:r>
    </w:p>
    <w:p w14:paraId="4C0AEFE4" w14:textId="77777777" w:rsidR="00C84127" w:rsidRDefault="00000000">
      <w:pPr>
        <w:pStyle w:val="ListParagraph"/>
        <w:numPr>
          <w:ilvl w:val="0"/>
          <w:numId w:val="1"/>
        </w:numPr>
        <w:spacing w:after="80"/>
      </w:pPr>
      <w:r>
        <w:rPr>
          <w:b/>
          <w:bCs/>
          <w:sz w:val="21"/>
          <w:szCs w:val="21"/>
        </w:rPr>
        <w:t xml:space="preserve">Decision Tree: </w:t>
      </w:r>
      <w:r>
        <w:rPr>
          <w:sz w:val="21"/>
          <w:szCs w:val="21"/>
        </w:rPr>
        <w:t xml:space="preserve">all features were initially retained, since tree-based models can handle multicollinearity without the same interpretability cost. SHAP analysis identified displacement, weight, and </w:t>
      </w:r>
      <w:proofErr w:type="spellStart"/>
      <w:r>
        <w:rPr>
          <w:sz w:val="21"/>
          <w:szCs w:val="21"/>
        </w:rPr>
        <w:t>model_year</w:t>
      </w:r>
      <w:proofErr w:type="spellEnd"/>
      <w:r>
        <w:rPr>
          <w:sz w:val="21"/>
          <w:szCs w:val="21"/>
        </w:rPr>
        <w:t xml:space="preserve"> as the top contributors (notably, displacement outperformed horsepower and cylinders despite similar raw correlations), and the model was reduced to these three features.</w:t>
      </w:r>
    </w:p>
    <w:p w14:paraId="5AA1ECCC" w14:textId="77777777" w:rsidR="00C84127" w:rsidRDefault="00000000">
      <w:pPr>
        <w:pStyle w:val="ListParagraph"/>
        <w:numPr>
          <w:ilvl w:val="0"/>
          <w:numId w:val="1"/>
        </w:numPr>
        <w:spacing w:after="80"/>
      </w:pPr>
      <w:r>
        <w:rPr>
          <w:b/>
          <w:bCs/>
          <w:sz w:val="21"/>
          <w:szCs w:val="21"/>
        </w:rPr>
        <w:t xml:space="preserve">Random Forest: </w:t>
      </w:r>
      <w:r>
        <w:rPr>
          <w:sz w:val="21"/>
          <w:szCs w:val="21"/>
        </w:rPr>
        <w:t xml:space="preserve">the same reduction applied to linear regression was used (weight, </w:t>
      </w:r>
      <w:proofErr w:type="spellStart"/>
      <w:r>
        <w:rPr>
          <w:sz w:val="21"/>
          <w:szCs w:val="21"/>
        </w:rPr>
        <w:t>model_year</w:t>
      </w:r>
      <w:proofErr w:type="spellEnd"/>
      <w:r>
        <w:rPr>
          <w:sz w:val="21"/>
          <w:szCs w:val="21"/>
        </w:rPr>
        <w:t xml:space="preserve">, acceleration, origin as candidates), even though Random Forest can accommodate correlated features without hurting raw accuracy. This choice was made deliberately to preserve interpretability and consistency with the project's stated goals. SHAP again confirmed weight and </w:t>
      </w:r>
      <w:proofErr w:type="spellStart"/>
      <w:r>
        <w:rPr>
          <w:sz w:val="21"/>
          <w:szCs w:val="21"/>
        </w:rPr>
        <w:t>model_year</w:t>
      </w:r>
      <w:proofErr w:type="spellEnd"/>
      <w:r>
        <w:rPr>
          <w:sz w:val="21"/>
          <w:szCs w:val="21"/>
        </w:rPr>
        <w:t xml:space="preserve"> as dominant, and the model was reduced to these two.</w:t>
      </w:r>
    </w:p>
    <w:p w14:paraId="11062854" w14:textId="77777777" w:rsidR="00C84127" w:rsidRDefault="00000000">
      <w:pPr>
        <w:spacing w:after="140"/>
        <w:jc w:val="both"/>
      </w:pPr>
      <w:r>
        <w:rPr>
          <w:sz w:val="21"/>
          <w:szCs w:val="21"/>
        </w:rPr>
        <w:t xml:space="preserve">Across all three models, dropping correlated or low-contribution features produced only small decreases in LOOCV performance (detailed in Section 3), confirming that the retained features — primarily weight, </w:t>
      </w:r>
      <w:proofErr w:type="spellStart"/>
      <w:r>
        <w:rPr>
          <w:sz w:val="21"/>
          <w:szCs w:val="21"/>
        </w:rPr>
        <w:t>model_year</w:t>
      </w:r>
      <w:proofErr w:type="spellEnd"/>
      <w:r>
        <w:rPr>
          <w:sz w:val="21"/>
          <w:szCs w:val="21"/>
        </w:rPr>
        <w:t>, and displacement — capture the great majority of the predictive signal in the dataset.</w:t>
      </w:r>
    </w:p>
    <w:p w14:paraId="3445C64E" w14:textId="77777777" w:rsidR="00C84127" w:rsidRPr="005C44C0" w:rsidRDefault="00000000">
      <w:pPr>
        <w:pStyle w:val="Heading1"/>
        <w:spacing w:before="320" w:after="140"/>
        <w:rPr>
          <w:color w:val="EE0000"/>
          <w:u w:val="single"/>
        </w:rPr>
      </w:pPr>
      <w:r w:rsidRPr="005C44C0">
        <w:rPr>
          <w:color w:val="EE0000"/>
          <w:u w:val="single"/>
        </w:rPr>
        <w:t>3. Model Comparison and Metric Interpretation</w:t>
      </w:r>
    </w:p>
    <w:p w14:paraId="73D5631E" w14:textId="77777777" w:rsidR="00C84127" w:rsidRDefault="00000000">
      <w:pPr>
        <w:spacing w:after="140"/>
        <w:jc w:val="both"/>
      </w:pPr>
      <w:r>
        <w:rPr>
          <w:sz w:val="21"/>
          <w:szCs w:val="21"/>
        </w:rPr>
        <w:t xml:space="preserve">All three models were evaluated using Leave-One-Out Cross-Validation (LOOCV) on the training set, chosen for its robustness given the small sample size. Hyperparameter tuning was performed via </w:t>
      </w:r>
      <w:proofErr w:type="spellStart"/>
      <w:r>
        <w:rPr>
          <w:sz w:val="21"/>
          <w:szCs w:val="21"/>
        </w:rPr>
        <w:t>GridSearchCV</w:t>
      </w:r>
      <w:proofErr w:type="spellEnd"/>
      <w:r>
        <w:rPr>
          <w:sz w:val="21"/>
          <w:szCs w:val="21"/>
        </w:rPr>
        <w:t xml:space="preserve"> (using LOOCV for the Decision Tree, and 20-fold cross-validation for Random Forest to manage computational cost, given the larger search grid).</w:t>
      </w:r>
    </w:p>
    <w:p w14:paraId="5C486C5C" w14:textId="77777777" w:rsidR="00C84127" w:rsidRPr="005C44C0" w:rsidRDefault="00000000">
      <w:pPr>
        <w:pStyle w:val="Heading2"/>
        <w:spacing w:before="200" w:after="100"/>
        <w:rPr>
          <w:color w:val="FFC000"/>
        </w:rPr>
      </w:pPr>
      <w:r w:rsidRPr="005C44C0">
        <w:rPr>
          <w:color w:val="FFC000"/>
        </w:rPr>
        <w:t>Linear Regression</w:t>
      </w:r>
    </w:p>
    <w:p w14:paraId="6171E601" w14:textId="77777777" w:rsidR="00C84127" w:rsidRDefault="00000000">
      <w:pPr>
        <w:spacing w:after="140"/>
        <w:jc w:val="both"/>
      </w:pPr>
      <w:r>
        <w:rPr>
          <w:sz w:val="21"/>
          <w:szCs w:val="21"/>
        </w:rPr>
        <w:t xml:space="preserve">Final model: weight and </w:t>
      </w:r>
      <w:proofErr w:type="spellStart"/>
      <w:r>
        <w:rPr>
          <w:sz w:val="21"/>
          <w:szCs w:val="21"/>
        </w:rPr>
        <w:t>model_year</w:t>
      </w:r>
      <w:proofErr w:type="spellEnd"/>
      <w:r>
        <w:rPr>
          <w:sz w:val="21"/>
          <w:szCs w:val="21"/>
        </w:rPr>
        <w:t xml:space="preserve"> only. LOOCV R² = 0.844, MAE = 2.28, RMSE = 2.85. Coefficients confirm the expected direction: heavier cars show lower mpg, and newer model years show higher mpg.</w:t>
      </w:r>
    </w:p>
    <w:p w14:paraId="6991935F" w14:textId="77777777" w:rsidR="00C84127" w:rsidRPr="005C44C0" w:rsidRDefault="00000000">
      <w:pPr>
        <w:pStyle w:val="Heading2"/>
        <w:spacing w:before="200" w:after="100"/>
        <w:rPr>
          <w:color w:val="FFC000"/>
        </w:rPr>
      </w:pPr>
      <w:r w:rsidRPr="005C44C0">
        <w:rPr>
          <w:color w:val="FFC000"/>
        </w:rPr>
        <w:t>Decision Tree</w:t>
      </w:r>
    </w:p>
    <w:p w14:paraId="10CF89A4" w14:textId="77777777" w:rsidR="00C84127" w:rsidRDefault="00000000">
      <w:pPr>
        <w:spacing w:after="140"/>
        <w:jc w:val="both"/>
      </w:pPr>
      <w:r>
        <w:rPr>
          <w:sz w:val="21"/>
          <w:szCs w:val="21"/>
        </w:rPr>
        <w:t xml:space="preserve">The original-scale dataset consistently outperformed the log-transformed dataset (R² 0.856 vs. 0.829 before tuning), so the original-scale data was used going forward. After feature selection (displacement, weight, </w:t>
      </w:r>
      <w:proofErr w:type="spellStart"/>
      <w:r>
        <w:rPr>
          <w:sz w:val="21"/>
          <w:szCs w:val="21"/>
        </w:rPr>
        <w:t>model_year</w:t>
      </w:r>
      <w:proofErr w:type="spellEnd"/>
      <w:r>
        <w:rPr>
          <w:sz w:val="21"/>
          <w:szCs w:val="21"/>
        </w:rPr>
        <w:t>) and hyperparameter tuning (</w:t>
      </w:r>
      <w:proofErr w:type="spellStart"/>
      <w:r>
        <w:rPr>
          <w:sz w:val="21"/>
          <w:szCs w:val="21"/>
        </w:rPr>
        <w:t>GridSearchCV</w:t>
      </w:r>
      <w:proofErr w:type="spellEnd"/>
      <w:r>
        <w:rPr>
          <w:sz w:val="21"/>
          <w:szCs w:val="21"/>
        </w:rPr>
        <w:t xml:space="preserve">; best parameters: </w:t>
      </w:r>
      <w:proofErr w:type="spellStart"/>
      <w:r>
        <w:rPr>
          <w:sz w:val="21"/>
          <w:szCs w:val="21"/>
        </w:rPr>
        <w:t>max_depth</w:t>
      </w:r>
      <w:proofErr w:type="spellEnd"/>
      <w:r>
        <w:rPr>
          <w:sz w:val="21"/>
          <w:szCs w:val="21"/>
        </w:rPr>
        <w:t xml:space="preserve">=5, </w:t>
      </w:r>
      <w:proofErr w:type="spellStart"/>
      <w:r>
        <w:rPr>
          <w:sz w:val="21"/>
          <w:szCs w:val="21"/>
        </w:rPr>
        <w:t>min_samples_split</w:t>
      </w:r>
      <w:proofErr w:type="spellEnd"/>
      <w:r>
        <w:rPr>
          <w:sz w:val="21"/>
          <w:szCs w:val="21"/>
        </w:rPr>
        <w:t xml:space="preserve">=10, </w:t>
      </w:r>
      <w:proofErr w:type="spellStart"/>
      <w:r>
        <w:rPr>
          <w:sz w:val="21"/>
          <w:szCs w:val="21"/>
        </w:rPr>
        <w:t>min_samples_leaf</w:t>
      </w:r>
      <w:proofErr w:type="spellEnd"/>
      <w:r>
        <w:rPr>
          <w:sz w:val="21"/>
          <w:szCs w:val="21"/>
        </w:rPr>
        <w:t>=20), the tuned model achieved LOOCV R² = 0.857, MAE = 2.12, RMSE = 2.73 — an improvement over the untuned model across all three metrics, most notably RMSE.</w:t>
      </w:r>
    </w:p>
    <w:p w14:paraId="04E02229" w14:textId="77777777" w:rsidR="00C84127" w:rsidRPr="005C44C0" w:rsidRDefault="00000000">
      <w:pPr>
        <w:pStyle w:val="Heading2"/>
        <w:spacing w:before="200" w:after="100"/>
        <w:rPr>
          <w:color w:val="FFC000"/>
        </w:rPr>
      </w:pPr>
      <w:r w:rsidRPr="005C44C0">
        <w:rPr>
          <w:color w:val="FFC000"/>
        </w:rPr>
        <w:t>Random Forest</w:t>
      </w:r>
    </w:p>
    <w:p w14:paraId="258B409C" w14:textId="77777777" w:rsidR="00C84127" w:rsidRDefault="00000000">
      <w:pPr>
        <w:spacing w:after="140"/>
        <w:jc w:val="both"/>
      </w:pPr>
      <w:r>
        <w:rPr>
          <w:sz w:val="21"/>
          <w:szCs w:val="21"/>
        </w:rPr>
        <w:t xml:space="preserve">Using the same reduced feature set as linear regression, the untuned Random Forest (100 trees, default settings) already outperformed both other models: R² = 0.902, MAE = 1.78, RMSE = 2.26. After SHAP-based feature selection (weight and </w:t>
      </w:r>
      <w:proofErr w:type="spellStart"/>
      <w:r>
        <w:rPr>
          <w:sz w:val="21"/>
          <w:szCs w:val="21"/>
        </w:rPr>
        <w:t>model_year</w:t>
      </w:r>
      <w:proofErr w:type="spellEnd"/>
      <w:r>
        <w:rPr>
          <w:sz w:val="21"/>
          <w:szCs w:val="21"/>
        </w:rPr>
        <w:t xml:space="preserve"> only), performance eased slightly to R² = 0.877. An initial hyperparameter search favored a heavily-constrained, 500-tree model, but this underperformed the untuned baseline on LOOCV — indicating the constraints were too restrictive. A second, less restrictive search (allowing smaller </w:t>
      </w:r>
      <w:proofErr w:type="spellStart"/>
      <w:r>
        <w:rPr>
          <w:sz w:val="21"/>
          <w:szCs w:val="21"/>
        </w:rPr>
        <w:t>min_samples_split</w:t>
      </w:r>
      <w:proofErr w:type="spellEnd"/>
      <w:r>
        <w:rPr>
          <w:sz w:val="21"/>
          <w:szCs w:val="21"/>
        </w:rPr>
        <w:t>/leaf and fewer, better-tuned trees) produced the best results overall: R² = 0.892, MAE = 1.82, RMSE = 2.37.</w:t>
      </w:r>
    </w:p>
    <w:p w14:paraId="6A3A5F9C" w14:textId="77777777" w:rsidR="00C84127" w:rsidRPr="005C44C0" w:rsidRDefault="00000000">
      <w:pPr>
        <w:pStyle w:val="Heading2"/>
        <w:spacing w:before="200" w:after="100"/>
        <w:rPr>
          <w:color w:val="FFC000"/>
        </w:rPr>
      </w:pPr>
      <w:r w:rsidRPr="005C44C0">
        <w:rPr>
          <w:color w:val="FFC000"/>
        </w:rPr>
        <w:t>Comparison table (LOOCV results,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700"/>
        <w:gridCol w:w="1700"/>
        <w:gridCol w:w="1700"/>
        <w:gridCol w:w="1560"/>
      </w:tblGrid>
      <w:tr w:rsidR="00C84127" w14:paraId="7F08F7A9" w14:textId="77777777">
        <w:tblPrEx>
          <w:tblCellMar>
            <w:top w:w="0" w:type="dxa"/>
            <w:bottom w:w="0" w:type="dxa"/>
          </w:tblCellMar>
        </w:tblPrEx>
        <w:tc>
          <w:tcPr>
            <w:tcW w:w="2700" w:type="dxa"/>
            <w:shd w:val="clear" w:color="auto" w:fill="2E5B8A"/>
            <w:tcMar>
              <w:top w:w="80" w:type="dxa"/>
              <w:left w:w="100" w:type="dxa"/>
              <w:bottom w:w="80" w:type="dxa"/>
              <w:right w:w="100" w:type="dxa"/>
            </w:tcMar>
          </w:tcPr>
          <w:p w14:paraId="5C72D3B0" w14:textId="77777777" w:rsidR="00C84127" w:rsidRDefault="00000000">
            <w:r>
              <w:rPr>
                <w:b/>
                <w:bCs/>
                <w:color w:val="FFFFFF"/>
              </w:rPr>
              <w:t>Model</w:t>
            </w:r>
          </w:p>
        </w:tc>
        <w:tc>
          <w:tcPr>
            <w:tcW w:w="1700" w:type="dxa"/>
            <w:shd w:val="clear" w:color="auto" w:fill="2E5B8A"/>
            <w:tcMar>
              <w:top w:w="80" w:type="dxa"/>
              <w:left w:w="100" w:type="dxa"/>
              <w:bottom w:w="80" w:type="dxa"/>
              <w:right w:w="100" w:type="dxa"/>
            </w:tcMar>
          </w:tcPr>
          <w:p w14:paraId="3C2FF5FB" w14:textId="77777777" w:rsidR="00C84127" w:rsidRDefault="00000000">
            <w:pPr>
              <w:jc w:val="center"/>
            </w:pPr>
            <w:r>
              <w:rPr>
                <w:b/>
                <w:bCs/>
                <w:color w:val="FFFFFF"/>
              </w:rPr>
              <w:t>R²</w:t>
            </w:r>
          </w:p>
        </w:tc>
        <w:tc>
          <w:tcPr>
            <w:tcW w:w="1700" w:type="dxa"/>
            <w:shd w:val="clear" w:color="auto" w:fill="2E5B8A"/>
            <w:tcMar>
              <w:top w:w="80" w:type="dxa"/>
              <w:left w:w="100" w:type="dxa"/>
              <w:bottom w:w="80" w:type="dxa"/>
              <w:right w:w="100" w:type="dxa"/>
            </w:tcMar>
          </w:tcPr>
          <w:p w14:paraId="16FC7F5E" w14:textId="77777777" w:rsidR="00C84127" w:rsidRDefault="00000000">
            <w:pPr>
              <w:jc w:val="center"/>
            </w:pPr>
            <w:r>
              <w:rPr>
                <w:b/>
                <w:bCs/>
                <w:color w:val="FFFFFF"/>
              </w:rPr>
              <w:t>MAE</w:t>
            </w:r>
          </w:p>
        </w:tc>
        <w:tc>
          <w:tcPr>
            <w:tcW w:w="1700" w:type="dxa"/>
            <w:shd w:val="clear" w:color="auto" w:fill="2E5B8A"/>
            <w:tcMar>
              <w:top w:w="80" w:type="dxa"/>
              <w:left w:w="100" w:type="dxa"/>
              <w:bottom w:w="80" w:type="dxa"/>
              <w:right w:w="100" w:type="dxa"/>
            </w:tcMar>
          </w:tcPr>
          <w:p w14:paraId="6FAF032D" w14:textId="77777777" w:rsidR="00C84127" w:rsidRDefault="00000000">
            <w:pPr>
              <w:jc w:val="center"/>
            </w:pPr>
            <w:r>
              <w:rPr>
                <w:b/>
                <w:bCs/>
                <w:color w:val="FFFFFF"/>
              </w:rPr>
              <w:t>RMSE</w:t>
            </w:r>
          </w:p>
        </w:tc>
        <w:tc>
          <w:tcPr>
            <w:tcW w:w="1560" w:type="dxa"/>
            <w:shd w:val="clear" w:color="auto" w:fill="2E5B8A"/>
            <w:tcMar>
              <w:top w:w="80" w:type="dxa"/>
              <w:left w:w="100" w:type="dxa"/>
              <w:bottom w:w="80" w:type="dxa"/>
              <w:right w:w="100" w:type="dxa"/>
            </w:tcMar>
          </w:tcPr>
          <w:p w14:paraId="2819C0DF" w14:textId="77777777" w:rsidR="00C84127" w:rsidRDefault="00000000">
            <w:pPr>
              <w:jc w:val="center"/>
            </w:pPr>
            <w:r>
              <w:rPr>
                <w:b/>
                <w:bCs/>
                <w:color w:val="FFFFFF"/>
              </w:rPr>
              <w:t># Features</w:t>
            </w:r>
          </w:p>
        </w:tc>
      </w:tr>
      <w:tr w:rsidR="00C84127" w14:paraId="13E53517" w14:textId="77777777">
        <w:tblPrEx>
          <w:tblCellMar>
            <w:top w:w="0" w:type="dxa"/>
            <w:bottom w:w="0" w:type="dxa"/>
          </w:tblCellMar>
        </w:tblPrEx>
        <w:tc>
          <w:tcPr>
            <w:tcW w:w="2700" w:type="dxa"/>
            <w:tcMar>
              <w:top w:w="80" w:type="dxa"/>
              <w:left w:w="100" w:type="dxa"/>
              <w:bottom w:w="80" w:type="dxa"/>
              <w:right w:w="100" w:type="dxa"/>
            </w:tcMar>
          </w:tcPr>
          <w:p w14:paraId="161207A2" w14:textId="77777777" w:rsidR="00C84127" w:rsidRDefault="00000000">
            <w:r>
              <w:rPr>
                <w:color w:val="000000"/>
              </w:rPr>
              <w:t>Linear Regression</w:t>
            </w:r>
          </w:p>
        </w:tc>
        <w:tc>
          <w:tcPr>
            <w:tcW w:w="1700" w:type="dxa"/>
            <w:tcMar>
              <w:top w:w="80" w:type="dxa"/>
              <w:left w:w="100" w:type="dxa"/>
              <w:bottom w:w="80" w:type="dxa"/>
              <w:right w:w="100" w:type="dxa"/>
            </w:tcMar>
          </w:tcPr>
          <w:p w14:paraId="4CBB816E" w14:textId="77777777" w:rsidR="00C84127" w:rsidRDefault="00000000">
            <w:pPr>
              <w:jc w:val="center"/>
            </w:pPr>
            <w:r>
              <w:rPr>
                <w:color w:val="000000"/>
              </w:rPr>
              <w:t>0.844</w:t>
            </w:r>
          </w:p>
        </w:tc>
        <w:tc>
          <w:tcPr>
            <w:tcW w:w="1700" w:type="dxa"/>
            <w:tcMar>
              <w:top w:w="80" w:type="dxa"/>
              <w:left w:w="100" w:type="dxa"/>
              <w:bottom w:w="80" w:type="dxa"/>
              <w:right w:w="100" w:type="dxa"/>
            </w:tcMar>
          </w:tcPr>
          <w:p w14:paraId="50613FE9" w14:textId="77777777" w:rsidR="00C84127" w:rsidRDefault="00000000">
            <w:pPr>
              <w:jc w:val="center"/>
            </w:pPr>
            <w:r>
              <w:rPr>
                <w:color w:val="000000"/>
              </w:rPr>
              <w:t>2.278</w:t>
            </w:r>
          </w:p>
        </w:tc>
        <w:tc>
          <w:tcPr>
            <w:tcW w:w="1700" w:type="dxa"/>
            <w:tcMar>
              <w:top w:w="80" w:type="dxa"/>
              <w:left w:w="100" w:type="dxa"/>
              <w:bottom w:w="80" w:type="dxa"/>
              <w:right w:w="100" w:type="dxa"/>
            </w:tcMar>
          </w:tcPr>
          <w:p w14:paraId="3DDDBD83" w14:textId="77777777" w:rsidR="00C84127" w:rsidRDefault="00000000">
            <w:pPr>
              <w:jc w:val="center"/>
            </w:pPr>
            <w:r>
              <w:rPr>
                <w:color w:val="000000"/>
              </w:rPr>
              <w:t>2.853</w:t>
            </w:r>
          </w:p>
        </w:tc>
        <w:tc>
          <w:tcPr>
            <w:tcW w:w="1560" w:type="dxa"/>
            <w:tcMar>
              <w:top w:w="80" w:type="dxa"/>
              <w:left w:w="100" w:type="dxa"/>
              <w:bottom w:w="80" w:type="dxa"/>
              <w:right w:w="100" w:type="dxa"/>
            </w:tcMar>
          </w:tcPr>
          <w:p w14:paraId="7EBC2BB2" w14:textId="77777777" w:rsidR="00C84127" w:rsidRDefault="00000000">
            <w:pPr>
              <w:jc w:val="center"/>
            </w:pPr>
            <w:r>
              <w:rPr>
                <w:color w:val="000000"/>
              </w:rPr>
              <w:t>2</w:t>
            </w:r>
          </w:p>
        </w:tc>
      </w:tr>
      <w:tr w:rsidR="00C84127" w14:paraId="5CF3E4F3" w14:textId="77777777">
        <w:tblPrEx>
          <w:tblCellMar>
            <w:top w:w="0" w:type="dxa"/>
            <w:bottom w:w="0" w:type="dxa"/>
          </w:tblCellMar>
        </w:tblPrEx>
        <w:tc>
          <w:tcPr>
            <w:tcW w:w="2700" w:type="dxa"/>
            <w:tcMar>
              <w:top w:w="80" w:type="dxa"/>
              <w:left w:w="100" w:type="dxa"/>
              <w:bottom w:w="80" w:type="dxa"/>
              <w:right w:w="100" w:type="dxa"/>
            </w:tcMar>
          </w:tcPr>
          <w:p w14:paraId="5B327CB5" w14:textId="77777777" w:rsidR="00C84127" w:rsidRDefault="00000000">
            <w:r>
              <w:rPr>
                <w:color w:val="000000"/>
              </w:rPr>
              <w:t>Decision Tree</w:t>
            </w:r>
          </w:p>
        </w:tc>
        <w:tc>
          <w:tcPr>
            <w:tcW w:w="1700" w:type="dxa"/>
            <w:tcMar>
              <w:top w:w="80" w:type="dxa"/>
              <w:left w:w="100" w:type="dxa"/>
              <w:bottom w:w="80" w:type="dxa"/>
              <w:right w:w="100" w:type="dxa"/>
            </w:tcMar>
          </w:tcPr>
          <w:p w14:paraId="3AE7254A" w14:textId="77777777" w:rsidR="00C84127" w:rsidRDefault="00000000">
            <w:pPr>
              <w:jc w:val="center"/>
            </w:pPr>
            <w:r>
              <w:rPr>
                <w:color w:val="000000"/>
              </w:rPr>
              <w:t>0.857</w:t>
            </w:r>
          </w:p>
        </w:tc>
        <w:tc>
          <w:tcPr>
            <w:tcW w:w="1700" w:type="dxa"/>
            <w:tcMar>
              <w:top w:w="80" w:type="dxa"/>
              <w:left w:w="100" w:type="dxa"/>
              <w:bottom w:w="80" w:type="dxa"/>
              <w:right w:w="100" w:type="dxa"/>
            </w:tcMar>
          </w:tcPr>
          <w:p w14:paraId="508E532F" w14:textId="77777777" w:rsidR="00C84127" w:rsidRDefault="00000000">
            <w:pPr>
              <w:jc w:val="center"/>
            </w:pPr>
            <w:r>
              <w:rPr>
                <w:color w:val="000000"/>
              </w:rPr>
              <w:t>2.120</w:t>
            </w:r>
          </w:p>
        </w:tc>
        <w:tc>
          <w:tcPr>
            <w:tcW w:w="1700" w:type="dxa"/>
            <w:tcMar>
              <w:top w:w="80" w:type="dxa"/>
              <w:left w:w="100" w:type="dxa"/>
              <w:bottom w:w="80" w:type="dxa"/>
              <w:right w:w="100" w:type="dxa"/>
            </w:tcMar>
          </w:tcPr>
          <w:p w14:paraId="7F1A20F7" w14:textId="77777777" w:rsidR="00C84127" w:rsidRDefault="00000000">
            <w:pPr>
              <w:jc w:val="center"/>
            </w:pPr>
            <w:r>
              <w:rPr>
                <w:color w:val="000000"/>
              </w:rPr>
              <w:t>2.734</w:t>
            </w:r>
          </w:p>
        </w:tc>
        <w:tc>
          <w:tcPr>
            <w:tcW w:w="1560" w:type="dxa"/>
            <w:tcMar>
              <w:top w:w="80" w:type="dxa"/>
              <w:left w:w="100" w:type="dxa"/>
              <w:bottom w:w="80" w:type="dxa"/>
              <w:right w:w="100" w:type="dxa"/>
            </w:tcMar>
          </w:tcPr>
          <w:p w14:paraId="286F9D57" w14:textId="77777777" w:rsidR="00C84127" w:rsidRDefault="00000000">
            <w:pPr>
              <w:jc w:val="center"/>
            </w:pPr>
            <w:r>
              <w:rPr>
                <w:color w:val="000000"/>
              </w:rPr>
              <w:t>3</w:t>
            </w:r>
          </w:p>
        </w:tc>
      </w:tr>
      <w:tr w:rsidR="00C84127" w14:paraId="0AE0AFF0" w14:textId="77777777">
        <w:tblPrEx>
          <w:tblCellMar>
            <w:top w:w="0" w:type="dxa"/>
            <w:bottom w:w="0" w:type="dxa"/>
          </w:tblCellMar>
        </w:tblPrEx>
        <w:tc>
          <w:tcPr>
            <w:tcW w:w="2700" w:type="dxa"/>
            <w:shd w:val="clear" w:color="auto" w:fill="EAF1F8"/>
            <w:tcMar>
              <w:top w:w="80" w:type="dxa"/>
              <w:left w:w="100" w:type="dxa"/>
              <w:bottom w:w="80" w:type="dxa"/>
              <w:right w:w="100" w:type="dxa"/>
            </w:tcMar>
          </w:tcPr>
          <w:p w14:paraId="13A33006" w14:textId="77777777" w:rsidR="00C84127" w:rsidRDefault="00000000">
            <w:r>
              <w:rPr>
                <w:color w:val="000000"/>
              </w:rPr>
              <w:t>Random Forest</w:t>
            </w:r>
          </w:p>
        </w:tc>
        <w:tc>
          <w:tcPr>
            <w:tcW w:w="1700" w:type="dxa"/>
            <w:shd w:val="clear" w:color="auto" w:fill="EAF1F8"/>
            <w:tcMar>
              <w:top w:w="80" w:type="dxa"/>
              <w:left w:w="100" w:type="dxa"/>
              <w:bottom w:w="80" w:type="dxa"/>
              <w:right w:w="100" w:type="dxa"/>
            </w:tcMar>
          </w:tcPr>
          <w:p w14:paraId="7675FF50" w14:textId="77777777" w:rsidR="00C84127" w:rsidRDefault="00000000">
            <w:pPr>
              <w:jc w:val="center"/>
            </w:pPr>
            <w:r>
              <w:rPr>
                <w:color w:val="000000"/>
              </w:rPr>
              <w:t>0.892</w:t>
            </w:r>
          </w:p>
        </w:tc>
        <w:tc>
          <w:tcPr>
            <w:tcW w:w="1700" w:type="dxa"/>
            <w:shd w:val="clear" w:color="auto" w:fill="EAF1F8"/>
            <w:tcMar>
              <w:top w:w="80" w:type="dxa"/>
              <w:left w:w="100" w:type="dxa"/>
              <w:bottom w:w="80" w:type="dxa"/>
              <w:right w:w="100" w:type="dxa"/>
            </w:tcMar>
          </w:tcPr>
          <w:p w14:paraId="27D0958D" w14:textId="77777777" w:rsidR="00C84127" w:rsidRDefault="00000000">
            <w:pPr>
              <w:jc w:val="center"/>
            </w:pPr>
            <w:r>
              <w:rPr>
                <w:color w:val="000000"/>
              </w:rPr>
              <w:t>1.819</w:t>
            </w:r>
          </w:p>
        </w:tc>
        <w:tc>
          <w:tcPr>
            <w:tcW w:w="1700" w:type="dxa"/>
            <w:shd w:val="clear" w:color="auto" w:fill="EAF1F8"/>
            <w:tcMar>
              <w:top w:w="80" w:type="dxa"/>
              <w:left w:w="100" w:type="dxa"/>
              <w:bottom w:w="80" w:type="dxa"/>
              <w:right w:w="100" w:type="dxa"/>
            </w:tcMar>
          </w:tcPr>
          <w:p w14:paraId="080614DF" w14:textId="77777777" w:rsidR="00C84127" w:rsidRDefault="00000000">
            <w:pPr>
              <w:jc w:val="center"/>
            </w:pPr>
            <w:r>
              <w:rPr>
                <w:color w:val="000000"/>
              </w:rPr>
              <w:t>2.371</w:t>
            </w:r>
          </w:p>
        </w:tc>
        <w:tc>
          <w:tcPr>
            <w:tcW w:w="1560" w:type="dxa"/>
            <w:shd w:val="clear" w:color="auto" w:fill="EAF1F8"/>
            <w:tcMar>
              <w:top w:w="80" w:type="dxa"/>
              <w:left w:w="100" w:type="dxa"/>
              <w:bottom w:w="80" w:type="dxa"/>
              <w:right w:w="100" w:type="dxa"/>
            </w:tcMar>
          </w:tcPr>
          <w:p w14:paraId="6C5B6FE6" w14:textId="77777777" w:rsidR="00C84127" w:rsidRDefault="00000000">
            <w:pPr>
              <w:jc w:val="center"/>
            </w:pPr>
            <w:r>
              <w:rPr>
                <w:color w:val="000000"/>
              </w:rPr>
              <w:t>2</w:t>
            </w:r>
          </w:p>
        </w:tc>
      </w:tr>
    </w:tbl>
    <w:p w14:paraId="68CA3485" w14:textId="77777777" w:rsidR="00C84127" w:rsidRDefault="00C84127">
      <w:pPr>
        <w:spacing w:after="140"/>
      </w:pPr>
    </w:p>
    <w:p w14:paraId="0B297A09" w14:textId="77777777" w:rsidR="005C44C0" w:rsidRDefault="005C44C0">
      <w:pPr>
        <w:spacing w:after="140"/>
      </w:pPr>
    </w:p>
    <w:p w14:paraId="304DC435" w14:textId="77777777" w:rsidR="00C84127" w:rsidRPr="005C44C0" w:rsidRDefault="00000000">
      <w:pPr>
        <w:pStyle w:val="Heading2"/>
        <w:spacing w:before="200" w:after="100"/>
        <w:rPr>
          <w:color w:val="FFC000"/>
        </w:rPr>
      </w:pPr>
      <w:r w:rsidRPr="005C44C0">
        <w:rPr>
          <w:color w:val="FFC000"/>
        </w:rPr>
        <w:lastRenderedPageBreak/>
        <w:t>Interpreting the metrics</w:t>
      </w:r>
    </w:p>
    <w:p w14:paraId="326D02B1" w14:textId="77777777" w:rsidR="00C84127" w:rsidRDefault="00000000">
      <w:pPr>
        <w:spacing w:after="140"/>
        <w:jc w:val="both"/>
      </w:pPr>
      <w:r>
        <w:rPr>
          <w:sz w:val="21"/>
          <w:szCs w:val="21"/>
        </w:rPr>
        <w:t>R² indicates the proportion of mpg variance explained by the model; all three models explain a substantial majority (84–89%) of that variance. MAE expresses the average absolute prediction error in mpg units — meaning, for example, a Random Forest prediction of 30 mpg is typically within about ±1.8 mpg of the true value, compared to roughly ±2.3 mpg for Linear Regression. RMSE, which penalizes larger errors more heavily, follows the same ranking, indicating Random Forest also makes fewer large, costly mispredictions than the other two models.</w:t>
      </w:r>
    </w:p>
    <w:p w14:paraId="1B0D072F" w14:textId="77777777" w:rsidR="00C84127" w:rsidRDefault="00000000">
      <w:pPr>
        <w:spacing w:after="140"/>
        <w:jc w:val="both"/>
      </w:pPr>
      <w:r>
        <w:rPr>
          <w:sz w:val="21"/>
          <w:szCs w:val="21"/>
        </w:rPr>
        <w:t xml:space="preserve">Performance improves consistently with model complexity (Linear Regression &lt; Decision Tree &lt; Random Forest), which is expected: more flexible models can capture finer patterns in the data. However, the gap between the simplest and most complex </w:t>
      </w:r>
      <w:proofErr w:type="gramStart"/>
      <w:r>
        <w:rPr>
          <w:sz w:val="21"/>
          <w:szCs w:val="21"/>
        </w:rPr>
        <w:t>model</w:t>
      </w:r>
      <w:proofErr w:type="gramEnd"/>
      <w:r>
        <w:rPr>
          <w:sz w:val="21"/>
          <w:szCs w:val="21"/>
        </w:rPr>
        <w:t xml:space="preserve"> is modest — the difference in MAE between Linear Regression and Random Forest is 0.46 mpg, under 7% of the dataset's mpg range.</w:t>
      </w:r>
    </w:p>
    <w:p w14:paraId="5DD96978" w14:textId="77777777" w:rsidR="00C84127" w:rsidRPr="005C44C0" w:rsidRDefault="00000000">
      <w:pPr>
        <w:pStyle w:val="Heading1"/>
        <w:spacing w:before="320" w:after="140"/>
        <w:rPr>
          <w:color w:val="EE0000"/>
          <w:u w:val="single"/>
        </w:rPr>
      </w:pPr>
      <w:r w:rsidRPr="005C44C0">
        <w:rPr>
          <w:color w:val="EE0000"/>
          <w:u w:val="single"/>
        </w:rPr>
        <w:t>4. Final Recommendation and Justification</w:t>
      </w:r>
    </w:p>
    <w:p w14:paraId="78B000CC" w14:textId="77777777" w:rsidR="00C84127" w:rsidRDefault="00000000">
      <w:pPr>
        <w:spacing w:after="140"/>
        <w:jc w:val="both"/>
      </w:pPr>
      <w:r>
        <w:rPr>
          <w:sz w:val="21"/>
          <w:szCs w:val="21"/>
        </w:rPr>
        <w:t xml:space="preserve">Across all three models, weight, </w:t>
      </w:r>
      <w:proofErr w:type="spellStart"/>
      <w:r>
        <w:rPr>
          <w:sz w:val="21"/>
          <w:szCs w:val="21"/>
        </w:rPr>
        <w:t>model_year</w:t>
      </w:r>
      <w:proofErr w:type="spellEnd"/>
      <w:r>
        <w:rPr>
          <w:sz w:val="21"/>
          <w:szCs w:val="21"/>
        </w:rPr>
        <w:t xml:space="preserve">, and displacement consistently emerged as the strongest predictors of fuel efficiency, with directionally sensible relationships: heavier and larger-engine cars are less efficient, while newer cars are more efficient. origin, cylinders, horsepower, acceleration, and </w:t>
      </w:r>
      <w:proofErr w:type="spellStart"/>
      <w:r>
        <w:rPr>
          <w:sz w:val="21"/>
          <w:szCs w:val="21"/>
        </w:rPr>
        <w:t>car_name</w:t>
      </w:r>
      <w:proofErr w:type="spellEnd"/>
      <w:r>
        <w:rPr>
          <w:sz w:val="21"/>
          <w:szCs w:val="21"/>
        </w:rPr>
        <w:t xml:space="preserve"> were all dropped at some stage, either for weak predictive contribution (origin, acceleration, </w:t>
      </w:r>
      <w:proofErr w:type="spellStart"/>
      <w:r>
        <w:rPr>
          <w:sz w:val="21"/>
          <w:szCs w:val="21"/>
        </w:rPr>
        <w:t>car_name</w:t>
      </w:r>
      <w:proofErr w:type="spellEnd"/>
      <w:r>
        <w:rPr>
          <w:sz w:val="21"/>
          <w:szCs w:val="21"/>
        </w:rPr>
        <w:t>) or redundancy with retained features (cylinders, horsepower).</w:t>
      </w:r>
    </w:p>
    <w:p w14:paraId="131B9B02" w14:textId="77777777" w:rsidR="00C84127" w:rsidRDefault="00000000">
      <w:pPr>
        <w:spacing w:after="140"/>
        <w:jc w:val="both"/>
      </w:pPr>
      <w:r>
        <w:rPr>
          <w:b/>
          <w:bCs/>
          <w:sz w:val="21"/>
          <w:szCs w:val="21"/>
        </w:rPr>
        <w:t>Although Random Forest achieved the best raw performance on every metric, it was not selected as the final model. The recommended model is Linear Regression, for the following reasons:</w:t>
      </w:r>
    </w:p>
    <w:p w14:paraId="251649CF" w14:textId="77777777" w:rsidR="00C84127" w:rsidRDefault="00000000">
      <w:pPr>
        <w:pStyle w:val="ListParagraph"/>
        <w:numPr>
          <w:ilvl w:val="0"/>
          <w:numId w:val="1"/>
        </w:numPr>
        <w:spacing w:after="80"/>
      </w:pPr>
      <w:r>
        <w:rPr>
          <w:sz w:val="21"/>
          <w:szCs w:val="21"/>
        </w:rPr>
        <w:t xml:space="preserve">Interpretability was an explicit project priority. Stakeholders </w:t>
      </w:r>
      <w:proofErr w:type="gramStart"/>
      <w:r>
        <w:rPr>
          <w:sz w:val="21"/>
          <w:szCs w:val="21"/>
        </w:rPr>
        <w:t>were understood to need</w:t>
      </w:r>
      <w:proofErr w:type="gramEnd"/>
      <w:r>
        <w:rPr>
          <w:sz w:val="21"/>
          <w:szCs w:val="21"/>
        </w:rPr>
        <w:t xml:space="preserve"> a clear, quantifiable explanation of how each feature relates to fuel efficiency — not only the most accurate prediction. Linear Regression offers this directly through its coefficients; Random Forest does not offer an equivalent, transparent decision path.</w:t>
      </w:r>
    </w:p>
    <w:p w14:paraId="631A58DF" w14:textId="77777777" w:rsidR="00C84127" w:rsidRDefault="00000000">
      <w:pPr>
        <w:pStyle w:val="ListParagraph"/>
        <w:numPr>
          <w:ilvl w:val="0"/>
          <w:numId w:val="1"/>
        </w:numPr>
        <w:spacing w:after="80"/>
      </w:pPr>
      <w:r>
        <w:rPr>
          <w:sz w:val="21"/>
          <w:szCs w:val="21"/>
        </w:rPr>
        <w:t>The accuracy gap is small in practical terms. The 0.46 mpg difference in MAE between Linear Regression and Random Forest represents less than 7% of the overall mpg range in this dataset — a modest cost for a substantial gain in interpretability.</w:t>
      </w:r>
    </w:p>
    <w:p w14:paraId="04D05894" w14:textId="77777777" w:rsidR="00C84127" w:rsidRDefault="00000000">
      <w:pPr>
        <w:pStyle w:val="ListParagraph"/>
        <w:numPr>
          <w:ilvl w:val="0"/>
          <w:numId w:val="1"/>
        </w:numPr>
        <w:spacing w:after="80"/>
      </w:pPr>
      <w:r>
        <w:rPr>
          <w:sz w:val="21"/>
          <w:szCs w:val="21"/>
        </w:rPr>
        <w:t>The Decision Tree, despite being competitive on accuracy, was also not selected: single decision trees are inherently sensitive to small changes in training data and carry a higher risk of overfitting, which was judged an unnecessary risk for only a marginal accuracy gain over Linear Regression.</w:t>
      </w:r>
    </w:p>
    <w:p w14:paraId="47E2D904" w14:textId="77777777" w:rsidR="00C84127" w:rsidRDefault="00000000">
      <w:pPr>
        <w:spacing w:after="140"/>
        <w:jc w:val="both"/>
      </w:pPr>
      <w:r>
        <w:rPr>
          <w:sz w:val="21"/>
          <w:szCs w:val="21"/>
        </w:rPr>
        <w:t xml:space="preserve">The selected Linear Regression model (weight and </w:t>
      </w:r>
      <w:proofErr w:type="spellStart"/>
      <w:r>
        <w:rPr>
          <w:sz w:val="21"/>
          <w:szCs w:val="21"/>
        </w:rPr>
        <w:t>model_year</w:t>
      </w:r>
      <w:proofErr w:type="spellEnd"/>
      <w:r>
        <w:rPr>
          <w:sz w:val="21"/>
          <w:szCs w:val="21"/>
        </w:rPr>
        <w:t>) was evaluated once on the held-out test set, confirming it generalizes well to unseen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C84127" w14:paraId="0ED9D2B0" w14:textId="77777777">
        <w:tblPrEx>
          <w:tblCellMar>
            <w:top w:w="0" w:type="dxa"/>
            <w:bottom w:w="0" w:type="dxa"/>
          </w:tblCellMar>
        </w:tblPrEx>
        <w:tc>
          <w:tcPr>
            <w:tcW w:w="3360" w:type="dxa"/>
            <w:shd w:val="clear" w:color="auto" w:fill="2E5B8A"/>
            <w:tcMar>
              <w:top w:w="80" w:type="dxa"/>
              <w:left w:w="100" w:type="dxa"/>
              <w:bottom w:w="80" w:type="dxa"/>
              <w:right w:w="100" w:type="dxa"/>
            </w:tcMar>
          </w:tcPr>
          <w:p w14:paraId="64AC5195" w14:textId="77777777" w:rsidR="00C84127" w:rsidRDefault="00000000">
            <w:r>
              <w:rPr>
                <w:b/>
                <w:bCs/>
                <w:color w:val="FFFFFF"/>
              </w:rPr>
              <w:t>Dataset</w:t>
            </w:r>
          </w:p>
        </w:tc>
        <w:tc>
          <w:tcPr>
            <w:tcW w:w="2000" w:type="dxa"/>
            <w:shd w:val="clear" w:color="auto" w:fill="2E5B8A"/>
            <w:tcMar>
              <w:top w:w="80" w:type="dxa"/>
              <w:left w:w="100" w:type="dxa"/>
              <w:bottom w:w="80" w:type="dxa"/>
              <w:right w:w="100" w:type="dxa"/>
            </w:tcMar>
          </w:tcPr>
          <w:p w14:paraId="41C2A6E2" w14:textId="77777777" w:rsidR="00C84127" w:rsidRDefault="00000000">
            <w:pPr>
              <w:jc w:val="center"/>
            </w:pPr>
            <w:r>
              <w:rPr>
                <w:b/>
                <w:bCs/>
                <w:color w:val="FFFFFF"/>
              </w:rPr>
              <w:t>R²</w:t>
            </w:r>
          </w:p>
        </w:tc>
        <w:tc>
          <w:tcPr>
            <w:tcW w:w="2000" w:type="dxa"/>
            <w:shd w:val="clear" w:color="auto" w:fill="2E5B8A"/>
            <w:tcMar>
              <w:top w:w="80" w:type="dxa"/>
              <w:left w:w="100" w:type="dxa"/>
              <w:bottom w:w="80" w:type="dxa"/>
              <w:right w:w="100" w:type="dxa"/>
            </w:tcMar>
          </w:tcPr>
          <w:p w14:paraId="6388F933" w14:textId="77777777" w:rsidR="00C84127" w:rsidRDefault="00000000">
            <w:pPr>
              <w:jc w:val="center"/>
            </w:pPr>
            <w:r>
              <w:rPr>
                <w:b/>
                <w:bCs/>
                <w:color w:val="FFFFFF"/>
              </w:rPr>
              <w:t>MAE</w:t>
            </w:r>
          </w:p>
        </w:tc>
        <w:tc>
          <w:tcPr>
            <w:tcW w:w="2000" w:type="dxa"/>
            <w:shd w:val="clear" w:color="auto" w:fill="2E5B8A"/>
            <w:tcMar>
              <w:top w:w="80" w:type="dxa"/>
              <w:left w:w="100" w:type="dxa"/>
              <w:bottom w:w="80" w:type="dxa"/>
              <w:right w:w="100" w:type="dxa"/>
            </w:tcMar>
          </w:tcPr>
          <w:p w14:paraId="18CD1636" w14:textId="77777777" w:rsidR="00C84127" w:rsidRDefault="00000000">
            <w:pPr>
              <w:jc w:val="center"/>
            </w:pPr>
            <w:r>
              <w:rPr>
                <w:b/>
                <w:bCs/>
                <w:color w:val="FFFFFF"/>
              </w:rPr>
              <w:t>RMSE</w:t>
            </w:r>
          </w:p>
        </w:tc>
      </w:tr>
      <w:tr w:rsidR="00C84127" w14:paraId="061A3440" w14:textId="77777777">
        <w:tblPrEx>
          <w:tblCellMar>
            <w:top w:w="0" w:type="dxa"/>
            <w:bottom w:w="0" w:type="dxa"/>
          </w:tblCellMar>
        </w:tblPrEx>
        <w:tc>
          <w:tcPr>
            <w:tcW w:w="3360" w:type="dxa"/>
            <w:tcMar>
              <w:top w:w="80" w:type="dxa"/>
              <w:left w:w="100" w:type="dxa"/>
              <w:bottom w:w="80" w:type="dxa"/>
              <w:right w:w="100" w:type="dxa"/>
            </w:tcMar>
          </w:tcPr>
          <w:p w14:paraId="55745ED6" w14:textId="77777777" w:rsidR="00C84127" w:rsidRDefault="00000000">
            <w:r>
              <w:rPr>
                <w:color w:val="000000"/>
              </w:rPr>
              <w:t>Training (LOOCV)</w:t>
            </w:r>
          </w:p>
        </w:tc>
        <w:tc>
          <w:tcPr>
            <w:tcW w:w="2000" w:type="dxa"/>
            <w:tcMar>
              <w:top w:w="80" w:type="dxa"/>
              <w:left w:w="100" w:type="dxa"/>
              <w:bottom w:w="80" w:type="dxa"/>
              <w:right w:w="100" w:type="dxa"/>
            </w:tcMar>
          </w:tcPr>
          <w:p w14:paraId="6C671AB8" w14:textId="77777777" w:rsidR="00C84127" w:rsidRDefault="00000000">
            <w:pPr>
              <w:jc w:val="center"/>
            </w:pPr>
            <w:r>
              <w:rPr>
                <w:color w:val="000000"/>
              </w:rPr>
              <w:t>0.844</w:t>
            </w:r>
          </w:p>
        </w:tc>
        <w:tc>
          <w:tcPr>
            <w:tcW w:w="2000" w:type="dxa"/>
            <w:tcMar>
              <w:top w:w="80" w:type="dxa"/>
              <w:left w:w="100" w:type="dxa"/>
              <w:bottom w:w="80" w:type="dxa"/>
              <w:right w:w="100" w:type="dxa"/>
            </w:tcMar>
          </w:tcPr>
          <w:p w14:paraId="4A790306" w14:textId="77777777" w:rsidR="00C84127" w:rsidRDefault="00000000">
            <w:pPr>
              <w:jc w:val="center"/>
            </w:pPr>
            <w:r>
              <w:rPr>
                <w:color w:val="000000"/>
              </w:rPr>
              <w:t>2.278</w:t>
            </w:r>
          </w:p>
        </w:tc>
        <w:tc>
          <w:tcPr>
            <w:tcW w:w="2000" w:type="dxa"/>
            <w:tcMar>
              <w:top w:w="80" w:type="dxa"/>
              <w:left w:w="100" w:type="dxa"/>
              <w:bottom w:w="80" w:type="dxa"/>
              <w:right w:w="100" w:type="dxa"/>
            </w:tcMar>
          </w:tcPr>
          <w:p w14:paraId="1F75D286" w14:textId="77777777" w:rsidR="00C84127" w:rsidRDefault="00000000">
            <w:pPr>
              <w:jc w:val="center"/>
            </w:pPr>
            <w:r>
              <w:rPr>
                <w:color w:val="000000"/>
              </w:rPr>
              <w:t>2.853</w:t>
            </w:r>
          </w:p>
        </w:tc>
      </w:tr>
      <w:tr w:rsidR="00C84127" w14:paraId="55C50E77" w14:textId="77777777">
        <w:tblPrEx>
          <w:tblCellMar>
            <w:top w:w="0" w:type="dxa"/>
            <w:bottom w:w="0" w:type="dxa"/>
          </w:tblCellMar>
        </w:tblPrEx>
        <w:tc>
          <w:tcPr>
            <w:tcW w:w="3360" w:type="dxa"/>
            <w:tcMar>
              <w:top w:w="80" w:type="dxa"/>
              <w:left w:w="100" w:type="dxa"/>
              <w:bottom w:w="80" w:type="dxa"/>
              <w:right w:w="100" w:type="dxa"/>
            </w:tcMar>
          </w:tcPr>
          <w:p w14:paraId="36533F5C" w14:textId="77777777" w:rsidR="00C84127" w:rsidRDefault="00000000">
            <w:r>
              <w:rPr>
                <w:color w:val="000000"/>
              </w:rPr>
              <w:t>Test (</w:t>
            </w:r>
            <w:proofErr w:type="gramStart"/>
            <w:r>
              <w:rPr>
                <w:color w:val="000000"/>
              </w:rPr>
              <w:t>held-out</w:t>
            </w:r>
            <w:proofErr w:type="gramEnd"/>
            <w:r>
              <w:rPr>
                <w:color w:val="000000"/>
              </w:rPr>
              <w:t>)</w:t>
            </w:r>
          </w:p>
        </w:tc>
        <w:tc>
          <w:tcPr>
            <w:tcW w:w="2000" w:type="dxa"/>
            <w:tcMar>
              <w:top w:w="80" w:type="dxa"/>
              <w:left w:w="100" w:type="dxa"/>
              <w:bottom w:w="80" w:type="dxa"/>
              <w:right w:w="100" w:type="dxa"/>
            </w:tcMar>
          </w:tcPr>
          <w:p w14:paraId="32B28A88" w14:textId="77777777" w:rsidR="00C84127" w:rsidRDefault="00000000">
            <w:pPr>
              <w:jc w:val="center"/>
            </w:pPr>
            <w:r>
              <w:rPr>
                <w:color w:val="000000"/>
              </w:rPr>
              <w:t>0.841</w:t>
            </w:r>
          </w:p>
        </w:tc>
        <w:tc>
          <w:tcPr>
            <w:tcW w:w="2000" w:type="dxa"/>
            <w:tcMar>
              <w:top w:w="80" w:type="dxa"/>
              <w:left w:w="100" w:type="dxa"/>
              <w:bottom w:w="80" w:type="dxa"/>
              <w:right w:w="100" w:type="dxa"/>
            </w:tcMar>
          </w:tcPr>
          <w:p w14:paraId="067962A5" w14:textId="77777777" w:rsidR="00C84127" w:rsidRDefault="00000000">
            <w:pPr>
              <w:jc w:val="center"/>
            </w:pPr>
            <w:r>
              <w:rPr>
                <w:color w:val="000000"/>
              </w:rPr>
              <w:t>2.390</w:t>
            </w:r>
          </w:p>
        </w:tc>
        <w:tc>
          <w:tcPr>
            <w:tcW w:w="2000" w:type="dxa"/>
            <w:tcMar>
              <w:top w:w="80" w:type="dxa"/>
              <w:left w:w="100" w:type="dxa"/>
              <w:bottom w:w="80" w:type="dxa"/>
              <w:right w:w="100" w:type="dxa"/>
            </w:tcMar>
          </w:tcPr>
          <w:p w14:paraId="79CA023E" w14:textId="77777777" w:rsidR="00C84127" w:rsidRDefault="00000000">
            <w:pPr>
              <w:jc w:val="center"/>
            </w:pPr>
            <w:r>
              <w:rPr>
                <w:color w:val="000000"/>
              </w:rPr>
              <w:t>2.911</w:t>
            </w:r>
          </w:p>
        </w:tc>
      </w:tr>
      <w:tr w:rsidR="00C84127" w14:paraId="2F34BE68" w14:textId="77777777">
        <w:tblPrEx>
          <w:tblCellMar>
            <w:top w:w="0" w:type="dxa"/>
            <w:bottom w:w="0" w:type="dxa"/>
          </w:tblCellMar>
        </w:tblPrEx>
        <w:tc>
          <w:tcPr>
            <w:tcW w:w="3360" w:type="dxa"/>
            <w:tcMar>
              <w:top w:w="80" w:type="dxa"/>
              <w:left w:w="100" w:type="dxa"/>
              <w:bottom w:w="80" w:type="dxa"/>
              <w:right w:w="100" w:type="dxa"/>
            </w:tcMar>
          </w:tcPr>
          <w:p w14:paraId="03C8D482" w14:textId="77777777" w:rsidR="00C84127" w:rsidRDefault="00000000">
            <w:r>
              <w:rPr>
                <w:color w:val="000000"/>
              </w:rPr>
              <w:t>Relative difference</w:t>
            </w:r>
          </w:p>
        </w:tc>
        <w:tc>
          <w:tcPr>
            <w:tcW w:w="2000" w:type="dxa"/>
            <w:tcMar>
              <w:top w:w="80" w:type="dxa"/>
              <w:left w:w="100" w:type="dxa"/>
              <w:bottom w:w="80" w:type="dxa"/>
              <w:right w:w="100" w:type="dxa"/>
            </w:tcMar>
          </w:tcPr>
          <w:p w14:paraId="4A8D3A92" w14:textId="77777777" w:rsidR="00C84127" w:rsidRDefault="00000000">
            <w:pPr>
              <w:jc w:val="center"/>
            </w:pPr>
            <w:r>
              <w:rPr>
                <w:color w:val="000000"/>
              </w:rPr>
              <w:t>0.43%</w:t>
            </w:r>
          </w:p>
        </w:tc>
        <w:tc>
          <w:tcPr>
            <w:tcW w:w="2000" w:type="dxa"/>
            <w:tcMar>
              <w:top w:w="80" w:type="dxa"/>
              <w:left w:w="100" w:type="dxa"/>
              <w:bottom w:w="80" w:type="dxa"/>
              <w:right w:w="100" w:type="dxa"/>
            </w:tcMar>
          </w:tcPr>
          <w:p w14:paraId="270CC77C" w14:textId="77777777" w:rsidR="00C84127" w:rsidRDefault="00000000">
            <w:pPr>
              <w:jc w:val="center"/>
            </w:pPr>
            <w:r>
              <w:rPr>
                <w:color w:val="000000"/>
              </w:rPr>
              <w:t>4.93%</w:t>
            </w:r>
          </w:p>
        </w:tc>
        <w:tc>
          <w:tcPr>
            <w:tcW w:w="2000" w:type="dxa"/>
            <w:tcMar>
              <w:top w:w="80" w:type="dxa"/>
              <w:left w:w="100" w:type="dxa"/>
              <w:bottom w:w="80" w:type="dxa"/>
              <w:right w:w="100" w:type="dxa"/>
            </w:tcMar>
          </w:tcPr>
          <w:p w14:paraId="304DAEB9" w14:textId="77777777" w:rsidR="00C84127" w:rsidRDefault="00000000">
            <w:pPr>
              <w:jc w:val="center"/>
            </w:pPr>
            <w:r>
              <w:rPr>
                <w:color w:val="000000"/>
              </w:rPr>
              <w:t>2.04%</w:t>
            </w:r>
          </w:p>
        </w:tc>
      </w:tr>
    </w:tbl>
    <w:p w14:paraId="15797566" w14:textId="77777777" w:rsidR="00C84127" w:rsidRDefault="00C84127">
      <w:pPr>
        <w:spacing w:after="140"/>
      </w:pPr>
    </w:p>
    <w:p w14:paraId="6F9986D2" w14:textId="77777777" w:rsidR="00C84127" w:rsidRDefault="00000000">
      <w:pPr>
        <w:spacing w:after="140"/>
        <w:jc w:val="both"/>
        <w:rPr>
          <w:sz w:val="21"/>
          <w:szCs w:val="21"/>
        </w:rPr>
      </w:pPr>
      <w:r>
        <w:rPr>
          <w:sz w:val="21"/>
          <w:szCs w:val="21"/>
        </w:rPr>
        <w:t>R² remained virtually unchanged between training and test, and both MAE and RMSE increased by less than 5%, indicating the model is not overfit and generalizes reliably to new, unseen vehicles. This final check, combined with the interpretability and accuracy trade-off discussed above, supports Linear Regression as the recommended model for deployment.</w:t>
      </w:r>
    </w:p>
    <w:p w14:paraId="7511B299" w14:textId="77777777" w:rsidR="00606A8E" w:rsidRDefault="00606A8E">
      <w:pPr>
        <w:spacing w:after="140"/>
        <w:jc w:val="both"/>
        <w:rPr>
          <w:sz w:val="21"/>
          <w:szCs w:val="21"/>
        </w:rPr>
      </w:pPr>
    </w:p>
    <w:p w14:paraId="134DA772" w14:textId="621C5761" w:rsidR="00606A8E" w:rsidRDefault="00606A8E">
      <w:pPr>
        <w:spacing w:after="140"/>
        <w:jc w:val="both"/>
      </w:pPr>
      <w:r w:rsidRPr="00606A8E">
        <w:rPr>
          <w:b/>
          <w:bCs/>
          <w:sz w:val="21"/>
          <w:szCs w:val="21"/>
          <w:u w:val="single"/>
        </w:rPr>
        <w:t>Disclaimer</w:t>
      </w:r>
      <w:r>
        <w:rPr>
          <w:sz w:val="21"/>
          <w:szCs w:val="21"/>
        </w:rPr>
        <w:t xml:space="preserve">: this report was done with the help of </w:t>
      </w:r>
      <w:proofErr w:type="spellStart"/>
      <w:r>
        <w:rPr>
          <w:sz w:val="21"/>
          <w:szCs w:val="21"/>
        </w:rPr>
        <w:t>ClaudeAI</w:t>
      </w:r>
      <w:proofErr w:type="spellEnd"/>
      <w:r>
        <w:rPr>
          <w:sz w:val="21"/>
          <w:szCs w:val="21"/>
        </w:rPr>
        <w:t xml:space="preserve">. I asked </w:t>
      </w:r>
      <w:proofErr w:type="gramStart"/>
      <w:r>
        <w:rPr>
          <w:sz w:val="21"/>
          <w:szCs w:val="21"/>
        </w:rPr>
        <w:t>it</w:t>
      </w:r>
      <w:proofErr w:type="gramEnd"/>
      <w:r>
        <w:rPr>
          <w:sz w:val="21"/>
          <w:szCs w:val="21"/>
        </w:rPr>
        <w:t xml:space="preserve"> to use the notebook’s notes (these ones are all 100% mine), </w:t>
      </w:r>
      <w:proofErr w:type="gramStart"/>
      <w:r>
        <w:rPr>
          <w:sz w:val="21"/>
          <w:szCs w:val="21"/>
        </w:rPr>
        <w:t>and also</w:t>
      </w:r>
      <w:proofErr w:type="gramEnd"/>
      <w:r>
        <w:rPr>
          <w:sz w:val="21"/>
          <w:szCs w:val="21"/>
        </w:rPr>
        <w:t xml:space="preserve"> the 4 big topics (the red titles). </w:t>
      </w:r>
    </w:p>
    <w:sectPr w:rsidR="00606A8E">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97D9D"/>
    <w:multiLevelType w:val="hybridMultilevel"/>
    <w:tmpl w:val="8F4AA408"/>
    <w:lvl w:ilvl="0" w:tplc="5D725586">
      <w:start w:val="1"/>
      <w:numFmt w:val="bullet"/>
      <w:lvlText w:val="●"/>
      <w:lvlJc w:val="left"/>
      <w:pPr>
        <w:ind w:left="720" w:hanging="360"/>
      </w:pPr>
    </w:lvl>
    <w:lvl w:ilvl="1" w:tplc="58FC3202">
      <w:start w:val="1"/>
      <w:numFmt w:val="bullet"/>
      <w:lvlText w:val="○"/>
      <w:lvlJc w:val="left"/>
      <w:pPr>
        <w:ind w:left="1440" w:hanging="360"/>
      </w:pPr>
    </w:lvl>
    <w:lvl w:ilvl="2" w:tplc="CDE67C88">
      <w:start w:val="1"/>
      <w:numFmt w:val="bullet"/>
      <w:lvlText w:val="■"/>
      <w:lvlJc w:val="left"/>
      <w:pPr>
        <w:ind w:left="2160" w:hanging="360"/>
      </w:pPr>
    </w:lvl>
    <w:lvl w:ilvl="3" w:tplc="FD18146A">
      <w:start w:val="1"/>
      <w:numFmt w:val="bullet"/>
      <w:lvlText w:val="●"/>
      <w:lvlJc w:val="left"/>
      <w:pPr>
        <w:ind w:left="2880" w:hanging="360"/>
      </w:pPr>
    </w:lvl>
    <w:lvl w:ilvl="4" w:tplc="A2ECBD3A">
      <w:start w:val="1"/>
      <w:numFmt w:val="bullet"/>
      <w:lvlText w:val="○"/>
      <w:lvlJc w:val="left"/>
      <w:pPr>
        <w:ind w:left="3600" w:hanging="360"/>
      </w:pPr>
    </w:lvl>
    <w:lvl w:ilvl="5" w:tplc="D2D6EBE2">
      <w:start w:val="1"/>
      <w:numFmt w:val="bullet"/>
      <w:lvlText w:val="■"/>
      <w:lvlJc w:val="left"/>
      <w:pPr>
        <w:ind w:left="4320" w:hanging="360"/>
      </w:pPr>
    </w:lvl>
    <w:lvl w:ilvl="6" w:tplc="E014040A">
      <w:start w:val="1"/>
      <w:numFmt w:val="bullet"/>
      <w:lvlText w:val="●"/>
      <w:lvlJc w:val="left"/>
      <w:pPr>
        <w:ind w:left="5040" w:hanging="360"/>
      </w:pPr>
    </w:lvl>
    <w:lvl w:ilvl="7" w:tplc="35741E46">
      <w:start w:val="1"/>
      <w:numFmt w:val="bullet"/>
      <w:lvlText w:val="●"/>
      <w:lvlJc w:val="left"/>
      <w:pPr>
        <w:ind w:left="5760" w:hanging="360"/>
      </w:pPr>
    </w:lvl>
    <w:lvl w:ilvl="8" w:tplc="C506F684">
      <w:start w:val="1"/>
      <w:numFmt w:val="bullet"/>
      <w:lvlText w:val="●"/>
      <w:lvlJc w:val="left"/>
      <w:pPr>
        <w:ind w:left="6480" w:hanging="360"/>
      </w:pPr>
    </w:lvl>
  </w:abstractNum>
  <w:num w:numId="1" w16cid:durableId="165169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127"/>
    <w:rsid w:val="0052090A"/>
    <w:rsid w:val="005C44C0"/>
    <w:rsid w:val="00606A8E"/>
    <w:rsid w:val="00C84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9A8D6"/>
  <w15:docId w15:val="{23C85C9A-4BC9-4F5B-9418-84CDEFC1C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1532</Words>
  <Characters>8736</Characters>
  <Application>Microsoft Office Word</Application>
  <DocSecurity>0</DocSecurity>
  <Lines>72</Lines>
  <Paragraphs>20</Paragraphs>
  <ScaleCrop>false</ScaleCrop>
  <Company/>
  <LinksUpToDate>false</LinksUpToDate>
  <CharactersWithSpaces>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Macedo</cp:lastModifiedBy>
  <cp:revision>3</cp:revision>
  <dcterms:created xsi:type="dcterms:W3CDTF">2026-10-06T02:25:00Z</dcterms:created>
  <dcterms:modified xsi:type="dcterms:W3CDTF">2026-10-06T02:36:00Z</dcterms:modified>
</cp:coreProperties>
</file>