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188372</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188372</w:t>
            </w:r>
          </w:p>
        </w:tc>
      </w:tr>
      <w:tr>
        <w:tc>
          <w:tcPr>
            <w:tcW w:type="dxa" w:w="4320"/>
          </w:tcPr>
          <w:p>
            <w:r>
              <w:t>Date of Trial</w:t>
            </w:r>
          </w:p>
        </w:tc>
        <w:tc>
          <w:tcPr>
            <w:tcW w:type="dxa" w:w="4320"/>
          </w:tcPr>
          <w:p>
            <w:r>
              <w:t>November 25, 2015</w:t>
            </w:r>
          </w:p>
        </w:tc>
      </w:tr>
      <w:tr>
        <w:tc>
          <w:tcPr>
            <w:tcW w:type="dxa" w:w="4320"/>
          </w:tcPr>
          <w:p>
            <w:r>
              <w:t>Court Level</w:t>
            </w:r>
          </w:p>
        </w:tc>
        <w:tc>
          <w:tcPr>
            <w:tcW w:type="dxa" w:w="4320"/>
          </w:tcPr>
          <w:p>
            <w:r>
              <w:t>Court Of Appeals</w:t>
            </w:r>
          </w:p>
        </w:tc>
      </w:tr>
      <w:tr>
        <w:tc>
          <w:tcPr>
            <w:tcW w:type="dxa" w:w="4320"/>
          </w:tcPr>
          <w:p>
            <w:r>
              <w:t>Division</w:t>
            </w:r>
          </w:p>
        </w:tc>
        <w:tc>
          <w:tcPr>
            <w:tcW w:type="dxa" w:w="4320"/>
          </w:tcPr>
          <w:p>
            <w:r>
              <w:t>Third Division</w:t>
            </w:r>
          </w:p>
        </w:tc>
      </w:tr>
      <w:tr>
        <w:tc>
          <w:tcPr>
            <w:tcW w:type="dxa" w:w="4320"/>
          </w:tcPr>
          <w:p>
            <w:r>
              <w:t>Is En Banc</w:t>
            </w:r>
          </w:p>
        </w:tc>
        <w:tc>
          <w:tcPr>
            <w:tcW w:type="dxa" w:w="4320"/>
          </w:tcPr>
          <w:p>
            <w:r>
              <w:t>No</w:t>
            </w:r>
          </w:p>
        </w:tc>
      </w:tr>
      <w:tr>
        <w:tc>
          <w:tcPr>
            <w:tcW w:type="dxa" w:w="4320"/>
          </w:tcPr>
          <w:p>
            <w:r>
              <w:t>Petitioners</w:t>
            </w:r>
          </w:p>
        </w:tc>
        <w:tc>
          <w:tcPr>
            <w:tcW w:type="dxa" w:w="4320"/>
          </w:tcPr>
          <w:p>
            <w:r>
              <w:t>Beams Philippine Export Corporation, Petitioner</w:t>
            </w:r>
          </w:p>
        </w:tc>
      </w:tr>
      <w:tr>
        <w:tc>
          <w:tcPr>
            <w:tcW w:type="dxa" w:w="4320"/>
          </w:tcPr>
          <w:p>
            <w:r>
              <w:t>Respondents</w:t>
            </w:r>
          </w:p>
        </w:tc>
        <w:tc>
          <w:tcPr>
            <w:tcW w:type="dxa" w:w="4320"/>
          </w:tcPr>
          <w:p>
            <w:r>
              <w:t>Marianita Castillo And Nida Quirante, Respondents.</w:t>
            </w:r>
          </w:p>
        </w:tc>
      </w:tr>
      <w:tr>
        <w:tc>
          <w:tcPr>
            <w:tcW w:type="dxa" w:w="4320"/>
          </w:tcPr>
          <w:p>
            <w:r>
              <w:t>Ponente</w:t>
            </w:r>
          </w:p>
        </w:tc>
        <w:tc>
          <w:tcPr>
            <w:tcW w:type="dxa" w:w="4320"/>
          </w:tcPr>
          <w:p>
            <w:r>
              <w:t>Reyes J.</w:t>
            </w:r>
          </w:p>
        </w:tc>
      </w:tr>
    </w:tbl>
    <w:p/>
    <w:p>
      <w:r>
        <w:rPr>
          <w:b/>
          <w:sz w:val="24"/>
        </w:rPr>
        <w:t>FACTS</w:t>
      </w:r>
    </w:p>
    <w:p>
      <w:r>
        <w:t>Who: Marianita Castillo and Nida Quirante (respondents); Petitioner (unnamed); Office of the Solicitor General (OSG).</w:t>
      </w:r>
    </w:p>
    <w:p>
      <w:r>
        <w:t>What: Respondents were charged with 16 counts of Estafa. The RTC dismissed the criminal cases. The petitioner filed a petition for certiorari with the CA to assail the RTC Decision and Order dismissing the estafa cases. The CA dismissed the petition.</w:t>
      </w:r>
    </w:p>
    <w:p>
      <w:r>
        <w:t>When: August 30, 2007 (RTC Decision dismissing the cases); September 7, 2007 (Motion for Reconsideration filed); September 28, 2007 (Motion for Reconsideration was denied); November 28, 2007 (CA dismissed the petition); May 28, 2009 (CA denied the Motion for Reconsideration).</w:t>
      </w:r>
    </w:p>
    <w:p>
      <w:r>
        <w:t>Where: Cebu City, Branch 7 (Regional Trial Court); Court of Appeals (CA).</w:t>
      </w:r>
    </w:p>
    <w:p/>
    <w:p>
      <w:r>
        <w:rPr>
          <w:b/>
          <w:sz w:val="24"/>
        </w:rPr>
        <w:t>ISSUES</w:t>
      </w:r>
    </w:p>
    <w:p>
      <w:r>
        <w:t>The legal issues the court formally addressed and resolved in this ruling are:</w:t>
      </w:r>
    </w:p>
    <w:p>
      <w:r>
        <w:t>Procedural Issue:</w:t>
      </w:r>
    </w:p>
    <w:p>
      <w:r>
        <w:t>Standing/Personality to Appeal a Criminal Case Dismissal: The primary procedural issue was whether a private complainant (Beams Philippine Export Corporation) has the legal standing or personality to appeal the dismissal of a criminal case (estafa) when the appeal seeks reconsideration of the criminal aspect of the decision, not the civil aspect.</w:t>
      </w:r>
    </w:p>
    <w:p>
      <w:r>
        <w:t>Substantive Issue (implicitly addressed, though not fully litigated):</w:t>
      </w:r>
    </w:p>
    <w:p>
      <w:r>
        <w:t>Right to Appeal Criminal Acquittal/Dismissal by Private Complainant: Under what circumstances can a private complainant or offended party appeal the acquittal of the accused or the dismissal of a criminal case? (The court relies on the precedent established in Bautista v. Cimeta-Pangilinan).</w:t>
      </w:r>
    </w:p>
    <w:p>
      <w:r>
        <w:t>Resolution:</w:t>
      </w:r>
    </w:p>
    <w:p>
      <w:r>
        <w:t>The court resolved the procedural issue by holding that a private complainant does not have the standing to appeal the criminal aspect of a case dismissal; that right is reserved for the Office of the Solicitor General (OSG) acting on behalf of the State. The private complainant's right to appeal is limited to the civil liability of the accused. Since the petition sought reconsideration of the criminal aspect and did not discuss civil liability, it was dismissed.</w:t>
      </w:r>
    </w:p>
    <w:p>
      <w:r>
        <w:t>The court implicitly resolved the substantive issue by reaffirming the precedent that a private complainant's right to appeal is limited to matters of civil liability. They cited Bautista v. Cimeta-Pangilinan to support this assertion.</w:t>
      </w:r>
    </w:p>
    <w:p>
      <w:r>
        <w:t>In essence, the ruling centered on who has the right to appeal in criminal cases after an acquittal or dismissal, and under what conditions.</w:t>
      </w:r>
    </w:p>
    <w:p/>
    <w:p>
      <w:r>
        <w:rPr>
          <w:b/>
          <w:sz w:val="24"/>
        </w:rPr>
        <w:t>RULINGS</w:t>
      </w:r>
    </w:p>
    <w:p>
      <w:r>
        <w:t>Okay, here's a breakdown of the legal issues, how the court resolved them, and the final ruling, followed by the dispositive portion of the decision.</w:t>
      </w:r>
    </w:p>
    <w:p>
      <w:r>
        <w:t>Legal Issues and Resolutions</w:t>
      </w:r>
    </w:p>
    <w:p>
      <w:r>
        <w:t>Issue: Whether the Court of Appeals erred in dismissing the Petition for Certiorari filed by Beams Philippine Export Corporation (a private complainant) on the ground that it lacked the authority to file such a petition in a criminal case.</w:t>
      </w:r>
    </w:p>
    <w:p>
      <w:r>
        <w:t>Resolution: The Court of Appeals correctly dismissed the Petition for Certiorari.</w:t>
      </w:r>
    </w:p>
    <w:p>
      <w:r>
        <w:t>Holding: In criminal cases, the sole authority to institute proceedings before the Court of Appeals or the Supreme Court is vested in the Office of the Solicitor General (OSG). The purpose of a criminal action is to determine the penal liability of the accused for having outraged the State. The offended party is merely a witness for the State, and the OSG is the appellate counsel of the People of the Philippines in all criminal cases.</w:t>
      </w:r>
    </w:p>
    <w:p>
      <w:r>
        <w:t>Dispositive Portion</w:t>
      </w:r>
    </w:p>
    <w:p>
      <w:r>
        <w:t>While the decision itself doesn't contain an explicit "dispositive portion" section, the ruling clearly affirms the dismissal of the petition. Therefore, the implied dispositive portion is:</w:t>
      </w:r>
    </w:p>
    <w:p>
      <w:r>
        <w:t>"WHEREFORE, the petition is denied. The Resolutions dated November 28, 2007 and May 28, 2009 of the Court of Appeals in CA-G.R. SP No. 03081 are hereby affirmed."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