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Samahan Ng Mga Progresibong Kabataan (Spark),* Joanne Rose Sace Lim, John Arvin Navarro Buenaagua, Ronel Baccutan, Mark Leo Delos Reyes, And Clarissa Joyce Villegas, Minor, For Herself And As Represented By Her Father, Julian Villegas, Jr., Petitioners vs. Quezon City, As Represented By Mayor Herbert Bautista, City Of Manila, As Represented By Mayor Joseph Estrada, And Navotas City, As Represented By Mayor John Rey Tiangco, , Respondents,</w:t>
      </w:r>
    </w:p>
    <w:p/>
    <w:tbl>
      <w:tblPr>
        <w:tblStyle w:val="TableGrid"/>
        <w:tblW w:type="auto" w:w="0"/>
        <w:tblLook w:firstColumn="1" w:firstRow="1" w:lastColumn="0" w:lastRow="0" w:noHBand="0" w:noVBand="1" w:val="04A0"/>
      </w:tblPr>
      <w:tblGrid>
        <w:gridCol w:w="4320"/>
        <w:gridCol w:w="4320"/>
      </w:tblGrid>
      <w:tr>
        <w:tc>
          <w:tcPr>
            <w:tcW w:type="dxa" w:w="4320"/>
          </w:tcPr>
          <w:p>
            <w:r>
              <w:t>G.R. Number</w:t>
            </w:r>
          </w:p>
        </w:tc>
        <w:tc>
          <w:tcPr>
            <w:tcW w:type="dxa" w:w="4320"/>
          </w:tcPr>
          <w:p>
            <w:r>
              <w:t>G.R. No. 225442</w:t>
            </w:r>
          </w:p>
        </w:tc>
      </w:tr>
      <w:tr>
        <w:tc>
          <w:tcPr>
            <w:tcW w:type="dxa" w:w="4320"/>
          </w:tcPr>
          <w:p>
            <w:r>
              <w:t>Date of Trial</w:t>
            </w:r>
          </w:p>
        </w:tc>
        <w:tc>
          <w:tcPr>
            <w:tcW w:type="dxa" w:w="4320"/>
          </w:tcPr>
          <w:p>
            <w:r>
              <w:t>August 8, 2017</w:t>
            </w:r>
          </w:p>
        </w:tc>
      </w:tr>
      <w:tr>
        <w:tc>
          <w:tcPr>
            <w:tcW w:type="dxa" w:w="4320"/>
          </w:tcPr>
          <w:p>
            <w:r>
              <w:t>Court Level</w:t>
            </w:r>
          </w:p>
        </w:tc>
        <w:tc>
          <w:tcPr>
            <w:tcW w:type="dxa" w:w="4320"/>
          </w:tcPr>
          <w:p>
            <w:r>
              <w:t>Supreme Court</w:t>
            </w:r>
          </w:p>
        </w:tc>
      </w:tr>
      <w:tr>
        <w:tc>
          <w:tcPr>
            <w:tcW w:type="dxa" w:w="4320"/>
          </w:tcPr>
          <w:p>
            <w:r>
              <w:t>Division</w:t>
            </w:r>
          </w:p>
        </w:tc>
        <w:tc>
          <w:tcPr>
            <w:tcW w:type="dxa" w:w="4320"/>
          </w:tcPr>
          <w:p>
            <w:r>
              <w:t>En Banc</w:t>
            </w:r>
          </w:p>
        </w:tc>
      </w:tr>
      <w:tr>
        <w:tc>
          <w:tcPr>
            <w:tcW w:type="dxa" w:w="4320"/>
          </w:tcPr>
          <w:p>
            <w:r>
              <w:t>Is En Banc</w:t>
            </w:r>
          </w:p>
        </w:tc>
        <w:tc>
          <w:tcPr>
            <w:tcW w:type="dxa" w:w="4320"/>
          </w:tcPr>
          <w:p>
            <w:r>
              <w:t>Yes</w:t>
            </w:r>
          </w:p>
        </w:tc>
      </w:tr>
      <w:tr>
        <w:tc>
          <w:tcPr>
            <w:tcW w:type="dxa" w:w="4320"/>
          </w:tcPr>
          <w:p>
            <w:r>
              <w:t>Petitioners</w:t>
            </w:r>
          </w:p>
        </w:tc>
        <w:tc>
          <w:tcPr>
            <w:tcW w:type="dxa" w:w="4320"/>
          </w:tcPr>
          <w:p>
            <w:r>
              <w:t>Samahan Ng Mga Progresibong Kabataan (Spark),* Joanne Rose Sace Lim, John Arvin Navarro Buenaagua, Ronel Baccutan, Mark Leo Delos Reyes, And Clarissa Joyce Villegas, Minor, For Herself And As Represented By Her Father, Julian Villegas, Jr., Petitioners</w:t>
            </w:r>
          </w:p>
        </w:tc>
      </w:tr>
      <w:tr>
        <w:tc>
          <w:tcPr>
            <w:tcW w:type="dxa" w:w="4320"/>
          </w:tcPr>
          <w:p>
            <w:r>
              <w:t>Respondents</w:t>
            </w:r>
          </w:p>
        </w:tc>
        <w:tc>
          <w:tcPr>
            <w:tcW w:type="dxa" w:w="4320"/>
          </w:tcPr>
          <w:p>
            <w:r>
              <w:t>Quezon City, As Represented By Mayor Herbert Bautista, City Of Manila, As Represented By Mayor Joseph Estrada, And Navotas City, As Represented By Mayor John Rey Tiangco, , Respondents,</w:t>
            </w:r>
          </w:p>
        </w:tc>
      </w:tr>
      <w:tr>
        <w:tc>
          <w:tcPr>
            <w:tcW w:type="dxa" w:w="4320"/>
          </w:tcPr>
          <w:p>
            <w:r>
              <w:t>Ponente</w:t>
            </w:r>
          </w:p>
        </w:tc>
        <w:tc>
          <w:tcPr>
            <w:tcW w:type="dxa" w:w="4320"/>
          </w:tcPr>
          <w:p>
            <w:r>
              <w:t>Perlas-Bernabe J.</w:t>
            </w:r>
          </w:p>
        </w:tc>
      </w:tr>
    </w:tbl>
    <w:p/>
    <w:p>
      <w:r>
        <w:rPr>
          <w:b/>
          <w:sz w:val="24"/>
        </w:rPr>
        <w:t>FACTS</w:t>
      </w:r>
    </w:p>
    <w:p>
      <w:r>
        <w:t>Here are the plain factual statements extracted from the provided text:</w:t>
      </w:r>
    </w:p>
    <w:p>
      <w:r>
        <w:t>Subject: Curfew ordinances in Manila, Navotas, and Quezon City, Philippines.</w:t>
      </w:r>
    </w:p>
    <w:p>
      <w:r>
        <w:t>Who: The ordinances apply to minors (persons under 18).</w:t>
      </w:r>
    </w:p>
    <w:p>
      <w:r>
        <w:t>What: The ordinances restrict the movement of minors during specific hours.</w:t>
      </w:r>
    </w:p>
    <w:p>
      <w:r>
        <w:t>When: Specific curfew hours are not specified in the provided text, but the restrictions apply during the night.</w:t>
      </w:r>
    </w:p>
    <w:p>
      <w:r>
        <w:t>Where: Manila (Ordinance No. 8046), Navotas (Pambayang Ordinansa Blg. No. 99-02, as amended by Pambayang Ordinansa Blg. 2002-13), and Quezon City (Ordinance No. SP-2301, Series of 2014)</w:t>
      </w:r>
    </w:p>
    <w:p>
      <w:r>
        <w:t>In Re Mosier: A US court declared a curfew ordinance unconstitutional because it was not narrowly drawn, curtailing minors' rights to religious freedom and free speech.</w:t>
      </w:r>
    </w:p>
    <w:p>
      <w:r>
        <w:t>Bykofsky v. Borough of Middletown: The ordinance was narrowly drawn with many exceptions and specifically excepted [the] exercise of First Amendment rights, travel in a motor vehicle and returning home by a direct route from religious, school, or voluntary association activities.</w:t>
      </w:r>
    </w:p>
    <w:p>
      <w:r>
        <w:t>Manila Ordinance exemptions: Minors accompanied by parents/guardians, those on lawful errands, night school students/employees, and those working at night.</w:t>
      </w:r>
    </w:p>
    <w:p>
      <w:r>
        <w:t>Navotas Ordinance exemptions: Minors with night classes, those working at night, those attending school/church activities coordinated with a barangay office, those traveling home, those running errands under supervision, those involved in accidents/calamities, and during specific holidays (Christmas Eve/Day, New Year's Eve/Day, Fiesta, All Saints'/Souls' Day, Holy Week).</w:t>
      </w:r>
    </w:p>
    <w:p>
      <w:r>
        <w:t>Quezon City Ordinance Exemptions: Accompanied by parents or guardian; Going to or from party, graduation ceremony, religious mass, school or organization event wherein attendance is required; Attending to or in experience of emergency situation; Engaged in an authorized employment activity, or going to or returning home from the same place of employment activity without any detour or stop; In [a] motor vehicle or other travel accompanied by an adult in no violation of this Ordinance; Involved in an emergency; Out of his/her residence attending an official school, religious, recreational, educational, social, community or other similar private activity sponsored by the city, barangay, school, or other similar private civic/religious organization/group (recognized by the community) that supervises the activity or when the minor is going to or returning home from such activity, without any detour or stop; Can present papers certifying that he/she is a student and was dismissed from his/her class/es in the evening or that he/she is a working student.</w:t>
      </w:r>
    </w:p>
    <w:p>
      <w:r>
        <w:t>Quezon City Ordinance sanctions: Penalties for the parent/guardian, but no penalty on the minors.</w:t>
      </w:r>
    </w:p>
    <w:p>
      <w:r>
        <w:t>Navotas Ordinance sanctions: Requires the minor, along with his or her parent/s or guardian/s, to render social civic duty and community service either in lieu of - should the parent/s or guardian/s of the minor be unable to pay the fine imposed - or in addition to the fine imposed therein.</w:t>
      </w:r>
    </w:p>
    <w:p>
      <w:r>
        <w:t>Manila Ordinance sanctions: Reprimand and admonition for first offenses (minors 15 and under and those between 15 and 18); Imprisonment (1-10 days) or a fine (Php 2,000) for third and subsequent offenses (minors between 15 and 18).</w:t>
      </w:r>
    </w:p>
    <w:p>
      <w:r>
        <w:t>RA 9344: Prohibits penalties on minors for status offenses like curfew violations.</w:t>
      </w:r>
    </w:p>
    <w:p/>
    <w:p>
      <w:r>
        <w:rPr>
          <w:b/>
          <w:sz w:val="24"/>
        </w:rPr>
        <w:t>ISSUES</w:t>
      </w:r>
    </w:p>
    <w:p>
      <w:r>
        <w:t>Based on the provided text, here are the legal issues the court formally addressed and resolved:</w:t>
      </w:r>
    </w:p>
    <w:p>
      <w:r>
        <w:t>Substantive Issues:</w:t>
      </w:r>
    </w:p>
    <w:p>
      <w:r>
        <w:t>Constitutionality of Curfew Ordinances (Generally): The overarching issue was whether the curfew ordinances of Quezon City, Manila, and Navotas were constitutional, considering their impact on minors' rights and parental rights. The court ultimately declared the Manila and Navotas ordinances unconstitutional and the Quezon City ordinance constitutional.</w:t>
      </w:r>
    </w:p>
    <w:p>
      <w:r>
        <w:t>Least Restrictive Means/Narrowly Drawn (Strict Scrutiny Test): The court scrutinized whether each ordinance was narrowly tailored to achieve the government's compelling interest (juvenile safety and crime prevention), ensuring minimal constraint on constitutional rights. It found that the Quezon City ordinance met this requirement due to its adequate exceptions.</w:t>
      </w:r>
    </w:p>
    <w:p>
      <w:r>
        <w:t>Minors' Right to Travel/Liberty: The court addressed whether the curfew ordinances unduly restricted minors' right to travel and liberty without substantive due process.</w:t>
      </w:r>
    </w:p>
    <w:p>
      <w:r>
        <w:t>Parents' Right to Rear Children: The court considered whether the curfew ordinances unconstitutionally deprived parents of their natural and primary right in rearing their children.</w:t>
      </w:r>
    </w:p>
    <w:p>
      <w:r>
        <w:t>Conflict with RA 9344 (Juvenile Justice and Welfare Act): The court examined whether specific provisions of the Manila Ordinance, particularly its penal provisions, conflicted with the provisions of RA 9344, as amended, specifically concerning penalties for status offenses.</w:t>
      </w:r>
    </w:p>
    <w:p>
      <w:r>
        <w:t>Validity of Specific Sanctions on Minors: The court specifically analyzed the validity of imposing community service, reprimands, admonitions, fines, and imprisonment on minors for curfew violations in light of RA 9344. It determined that community service and admonition were permissible intervention programs, but reprimands, fines, and imprisonment were prohibited penalties.</w:t>
      </w:r>
    </w:p>
    <w:p>
      <w:r>
        <w:t>Procedural Issues:</w:t>
      </w:r>
    </w:p>
    <w:p>
      <w:r>
        <w:t>Propriety of Certiorari and Prohibition: The court addressed whether a petition for certiorari and prohibition was the appropriate legal remedy to challenge the constitutionality of the ordinances.</w:t>
      </w:r>
    </w:p>
    <w:p>
      <w:r>
        <w:t>Direct Resort to the Supreme Court: The court examined whether the petitioners' direct resort to the Supreme Court, bypassing lower courts, was justified under the doctrine of hierarchy of courts.</w:t>
      </w:r>
    </w:p>
    <w:p>
      <w:r>
        <w:t>Actual Case or Controversy: The court determined whether there was an actual case or controversy, meaning a real conflict of legal rights, suitable for judicial resolution.</w:t>
      </w:r>
    </w:p>
    <w:p>
      <w:r>
        <w:t>Legal Standing: The court assessed whether the petitioners had legal standing, meaning a personal and substantial interest in the case, allowing them to challenge the validity of the ordinances.</w:t>
      </w:r>
    </w:p>
    <w:p>
      <w:r>
        <w:t>Void for Vagueness Doctrine: The Court addressed whether the Curfew Ordinances were impermissibly vague, lacking clear standards that would fairly inform individuals of the prohibited conduct and prevent arbitrary enforcement.</w:t>
      </w:r>
    </w:p>
    <w:p/>
    <w:p>
      <w:r>
        <w:rPr>
          <w:b/>
          <w:sz w:val="24"/>
        </w:rPr>
        <w:t>RULINGS</w:t>
      </w:r>
    </w:p>
    <w:p>
      <w:r>
        <w:t>Okay, let's break down the legal issues addressed in the provided decision, how the court resolved them, and the final rulings.</w:t>
      </w:r>
    </w:p>
    <w:p>
      <w:r>
        <w:t>Propriety of Certiorari and Prohibition</w:t>
      </w:r>
    </w:p>
    <w:p>
      <w:r>
        <w:t>Legal Issue: Whether a petition for certiorari and prohibition under Rule 65 of the Rules of Court is the proper remedy to assail the constitutionality of the Curfew Ordinances.</w:t>
      </w:r>
    </w:p>
    <w:p>
      <w:r>
        <w:t>Court's Resolution: The Court held that certiorari and prohibition are appropriate remedies when questioning the constitutionality of legislative and executive enactments. The Court cited the expanded judicial power under the 1987 Constitution, which includes determining whether there has been a grave abuse of discretion by any branch or instrumentality of the government.</w:t>
      </w:r>
    </w:p>
    <w:p>
      <w:r>
        <w:t>Final Ruling/Holding: The Court held that the petitioners correctly availed of the remedies of certiorari and prohibition, although these governmental actions were not made pursuant to any judicial or quasi-judicial function.</w:t>
      </w:r>
    </w:p>
    <w:p>
      <w:r>
        <w:t>Direct Resort to the Court</w:t>
      </w:r>
    </w:p>
    <w:p>
      <w:r>
        <w:t>Legal Issue: Whether the petitioners' direct resort to the Supreme Court, bypassing lower courts, was justified, considering the doctrine of hierarchy of courts.</w:t>
      </w:r>
    </w:p>
    <w:p>
      <w:r>
        <w:t>Court's Resolution: The Court acknowledged the doctrine of hierarchy of courts but held that direct resort to the Supreme Court is permissible when the issue of constitutionality of a law or regulation is of paramount importance and immediately affects the social, economic, and moral well-being of the people.</w:t>
      </w:r>
    </w:p>
    <w:p>
      <w:r>
        <w:t>Final Ruling/Holding: The Court held that the petitioners' direct resort to the Court is justified.</w:t>
      </w:r>
    </w:p>
    <w:p>
      <w:r>
        <w:t>Existence of an Actual Case or Controversy</w:t>
      </w:r>
    </w:p>
    <w:p>
      <w:r>
        <w:t>Legal Issue: Whether there exists an actual case or controversy calling for the exercise of judicial power.</w:t>
      </w:r>
    </w:p>
    <w:p>
      <w:r>
        <w:t>Court's Resolution: The Court found that an actual justiciable controversy exists due to the clash of legal claims regarding the impairment of minors' and parents' constitutional rights and the conflict between the Manila Ordinance and RA 9344.</w:t>
      </w:r>
    </w:p>
    <w:p>
      <w:r>
        <w:t>Final Ruling/Holding: The Court held that an actual case or controversy exists.</w:t>
      </w:r>
    </w:p>
    <w:p>
      <w:r>
        <w:t>Legal Standing</w:t>
      </w:r>
    </w:p>
    <w:p>
      <w:r>
        <w:t>Legal Issue: Whether the petitioners have the legal standing to challenge the Curfew Ordinances.</w:t>
      </w:r>
    </w:p>
    <w:p>
      <w:r>
        <w:t>Court's Resolution: The Court determined that only Clarissa Joyce Villegas had standing on the issue of the minor's right to travel because she was a minor subject to the ordinances. The other individual petitioners were of legal age and therefore not directly affected. No petitioners had standing on the parents' right to rear their children, given the circumstances.</w:t>
      </w:r>
    </w:p>
    <w:p>
      <w:r>
        <w:t>Final Ruling/Holding: The Court relaxed the standing requirement for all petitioners due to the transcendental importance of the issues involved.</w:t>
      </w:r>
    </w:p>
    <w:p>
      <w:r>
        <w:t>Void for Vagueness</w:t>
      </w:r>
    </w:p>
    <w:p>
      <w:r>
        <w:t>Legal Issue: Whether the Curfew Ordinances are unconstitutional for being void for vagueness.</w:t>
      </w:r>
    </w:p>
    <w:p>
      <w:r>
        <w:t>Court's Resolution: The Court rejected the petitioners' argument. It explained that a law is vague if it lacks comprehensible standards, failing to provide fair notice and leading to arbitrary enforcement. The Court found that the petitioners failed to identify any ambiguous provision and that the ordinances' implementation should be read in conjunction with RA 9344, as amended, which provides guidance on determining age.</w:t>
      </w:r>
    </w:p>
    <w:p>
      <w:r>
        <w:t>Final Ruling/Holding: The Court held that the Curfew Ordinances are not void for vagueness.</w:t>
      </w:r>
    </w:p>
    <w:p>
      <w:r>
        <w:t>Right of Parents to Rear their Children</w:t>
      </w:r>
    </w:p>
    <w:p>
      <w:r>
        <w:t>Legal Issue: Whether the Curfew Ordinances are unconstitutional because they deprive parents of their natural and primary right in the rearing of the youth without substantive due process.</w:t>
      </w:r>
    </w:p>
    <w:p>
      <w:r>
        <w:t>Court's Resolution: The Court recognized the parents' right and duty to rear their children but emphasized that this right is not absolute. The State has a complementary role to support parents and may act as parens patriae to protect minors when their welfare is at stake. The Court noted that the ordinances apply only when minors are unsupervised.</w:t>
      </w:r>
    </w:p>
    <w:p>
      <w:r>
        <w:t>Final Ruling/Holding: The Court held that the Curfew Ordinances do not violate the parents' right to rear their children.</w:t>
      </w:r>
    </w:p>
    <w:p>
      <w:r>
        <w:t>Right to Travel</w:t>
      </w:r>
    </w:p>
    <w:p>
      <w:r>
        <w:t>Legal Issue: Whether the Curfew Ordinances violate the minors' right to travel and whether they pass the strict scrutiny test.</w:t>
      </w:r>
    </w:p>
    <w:p>
      <w:r>
        <w:t>Court's Resolution: The Court recognized the right to travel as a fundamental right requiring strict scrutiny. It acknowledged the State's compelling interest in protecting minors (juvenile safety and prevention of juvenile crime). The Court found a statutory basis for the limitation on travel in Article 139 of PD 603. The State also presented evidence of the rise of criminality and need for protective measures.</w:t>
      </w:r>
    </w:p>
    <w:p>
      <w:r>
        <w:t>Final Ruling/Holding: The Court held that although the state did establish a compelling interest, the issue of narrow tailoring was not yet resolved, so the ordinances were still under examination.</w:t>
      </w:r>
    </w:p>
    <w:p>
      <w:r>
        <w:t>Dispositive Portion (Based on the extract; incomplete)</w:t>
      </w:r>
    </w:p>
    <w:p>
      <w:r>
        <w:t>The petition is partly granted. (This suggests the Court did not dismiss the petition outright but also did not fully grant it. Further details would be needed to specify if a restraining order was issued or whether the constitutionality was upheld with modifications, or if the Court remanded the case to lower courts).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