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Digest – G.R. No. 256700</w:t>
      </w:r>
    </w:p>
    <w:p/>
    <w:tbl>
      <w:tblPr>
        <w:tblStyle w:val="TableGrid"/>
        <w:tblW w:type="auto" w:w="0"/>
        <w:tblLook w:firstColumn="1" w:firstRow="1" w:lastColumn="0" w:lastRow="0" w:noHBand="0" w:noVBand="1" w:val="04A0"/>
      </w:tblPr>
      <w:tblGrid>
        <w:gridCol w:w="4320"/>
        <w:gridCol w:w="4320"/>
      </w:tblGrid>
      <w:tr>
        <w:tc>
          <w:tcPr>
            <w:tcW w:type="dxa" w:w="4320"/>
          </w:tcPr>
          <w:p>
            <w:r>
              <w:t>G.R. Number</w:t>
            </w:r>
          </w:p>
        </w:tc>
        <w:tc>
          <w:tcPr>
            <w:tcW w:type="dxa" w:w="4320"/>
          </w:tcPr>
          <w:p>
            <w:r>
              <w:t>G.R. No. 256700</w:t>
            </w:r>
          </w:p>
        </w:tc>
      </w:tr>
      <w:tr>
        <w:tc>
          <w:tcPr>
            <w:tcW w:type="dxa" w:w="4320"/>
          </w:tcPr>
          <w:p>
            <w:r>
              <w:t>Date of Trial</w:t>
            </w:r>
          </w:p>
        </w:tc>
        <w:tc>
          <w:tcPr>
            <w:tcW w:type="dxa" w:w="4320"/>
          </w:tcPr>
          <w:p>
            <w:r>
              <w:t>April 25, 2023</w:t>
            </w:r>
          </w:p>
        </w:tc>
      </w:tr>
      <w:tr>
        <w:tc>
          <w:tcPr>
            <w:tcW w:type="dxa" w:w="4320"/>
          </w:tcPr>
          <w:p>
            <w:r>
              <w:t>Court Level</w:t>
            </w:r>
          </w:p>
        </w:tc>
        <w:tc>
          <w:tcPr>
            <w:tcW w:type="dxa" w:w="4320"/>
          </w:tcPr>
          <w:p>
            <w:r>
              <w:t>Court Of Appeals</w:t>
            </w:r>
          </w:p>
        </w:tc>
      </w:tr>
      <w:tr>
        <w:tc>
          <w:tcPr>
            <w:tcW w:type="dxa" w:w="4320"/>
          </w:tcPr>
          <w:p>
            <w:r>
              <w:t>Division</w:t>
            </w:r>
          </w:p>
        </w:tc>
        <w:tc>
          <w:tcPr>
            <w:tcW w:type="dxa" w:w="4320"/>
          </w:tcPr>
          <w:p>
            <w:r>
              <w:t>En Banc</w:t>
            </w:r>
          </w:p>
        </w:tc>
      </w:tr>
      <w:tr>
        <w:tc>
          <w:tcPr>
            <w:tcW w:type="dxa" w:w="4320"/>
          </w:tcPr>
          <w:p>
            <w:r>
              <w:t>Is En Banc</w:t>
            </w:r>
          </w:p>
        </w:tc>
        <w:tc>
          <w:tcPr>
            <w:tcW w:type="dxa" w:w="4320"/>
          </w:tcPr>
          <w:p>
            <w:r>
              <w:t>Yes</w:t>
            </w:r>
          </w:p>
        </w:tc>
      </w:tr>
      <w:tr>
        <w:tc>
          <w:tcPr>
            <w:tcW w:type="dxa" w:w="4320"/>
          </w:tcPr>
          <w:p>
            <w:r>
              <w:t>Petitioners</w:t>
            </w:r>
          </w:p>
        </w:tc>
        <w:tc>
          <w:tcPr>
            <w:tcW w:type="dxa" w:w="4320"/>
          </w:tcPr>
          <w:p>
            <w:r>
              <w:t>People Of The Philippines, Petitioner</w:t>
            </w:r>
          </w:p>
        </w:tc>
      </w:tr>
      <w:tr>
        <w:tc>
          <w:tcPr>
            <w:tcW w:type="dxa" w:w="4320"/>
          </w:tcPr>
          <w:p>
            <w:r>
              <w:t>Respondents</w:t>
            </w:r>
          </w:p>
        </w:tc>
        <w:tc>
          <w:tcPr>
            <w:tcW w:type="dxa" w:w="4320"/>
          </w:tcPr>
          <w:p>
            <w:r>
              <w:t>Jomerito S. Soliman, Respondent.</w:t>
            </w:r>
          </w:p>
        </w:tc>
      </w:tr>
      <w:tr>
        <w:tc>
          <w:tcPr>
            <w:tcW w:type="dxa" w:w="4320"/>
          </w:tcPr>
          <w:p>
            <w:r>
              <w:t>Ponente</w:t>
            </w:r>
          </w:p>
        </w:tc>
        <w:tc>
          <w:tcPr>
            <w:tcW w:type="dxa" w:w="4320"/>
          </w:tcPr>
          <w:p>
            <w:r>
              <w:t>Kho, Jr. J.</w:t>
            </w:r>
          </w:p>
        </w:tc>
      </w:tr>
    </w:tbl>
    <w:p/>
    <w:p>
      <w:r>
        <w:rPr>
          <w:b/>
          <w:sz w:val="24"/>
        </w:rPr>
        <w:t>FACTS</w:t>
      </w:r>
    </w:p>
    <w:p>
      <w:r>
        <w:t>Section 91 of RA 10951 was enacted before the crime was committed.</w:t>
      </w:r>
    </w:p>
    <w:p>
      <w:r>
        <w:t>RA 10951 increased the penalty of fine for traditional libel (as defined and penalized under the RPC).</w:t>
      </w:r>
    </w:p>
    <w:p>
      <w:r>
        <w:t>Section 6 of RA 10175 provides that if a penalty of fine is imposed for online libel, it must be one degree higher than that imposed by the RPC.</w:t>
      </w:r>
    </w:p>
    <w:p>
      <w:r>
        <w:t>The offense in this case was committed on January 23, 2018.</w:t>
      </w:r>
    </w:p>
    <w:p>
      <w:r>
        <w:t>Soliman was found guilty beyond reasonable doubt of online libel by the RTC.</w:t>
      </w:r>
    </w:p>
    <w:p>
      <w:r>
        <w:t>The RTC sentenced Soliman to pay a fine of P50,000.00.</w:t>
      </w:r>
    </w:p>
    <w:p>
      <w:r>
        <w:t>The CA affirmed the RTC's decision.</w:t>
      </w:r>
    </w:p>
    <w:p>
      <w:r>
        <w:t>The CA denied the certiorari petition because it found no grave abuse of discretion on the part of the RTC.</w:t>
      </w:r>
    </w:p>
    <w:p>
      <w:r>
        <w:t>The CA also denied Petitioner's motion for reconsideration on May 31, 2021.</w:t>
      </w:r>
    </w:p>
    <w:p>
      <w:r>
        <w:t>Waldo R. Carpio is named as the private complainant.</w:t>
      </w:r>
    </w:p>
    <w:p/>
    <w:p>
      <w:r>
        <w:rPr>
          <w:b/>
          <w:sz w:val="24"/>
        </w:rPr>
        <w:t>ISSUES</w:t>
      </w:r>
    </w:p>
    <w:p>
      <w:r>
        <w:t>The court formally addressed and resolved the following legal issues:</w:t>
      </w:r>
    </w:p>
    <w:p>
      <w:r>
        <w:t>Substantive Matters:</w:t>
      </w:r>
    </w:p>
    <w:p>
      <w:r>
        <w:t>Penalty for Online Libel: The court definitively clarified the correct penalty for online libel under Section 6 of RA 10175 in relation to the Revised Penal Code (RPC) as amended by RA 10951.</w:t>
      </w:r>
    </w:p>
    <w:p>
      <w:r>
        <w:t>It held that the fine for online libel ranges from ₱40,000.00 to ₱1,500,000.00.</w:t>
      </w:r>
    </w:p>
    <w:p>
      <w:r>
        <w:t>It established a method for reducing the penalty of fine by one or two degrees, if necessary, maintaining the minimum at ₱40,000.00.</w:t>
      </w:r>
    </w:p>
    <w:p>
      <w:r>
        <w:t>Conflict between RA 10175 and its IRR: The court resolved the conflict between Section 6 of RA 10175 and Section 5 of its Implementing Rules and Regulations (IRR) regarding the penalty for online libel.</w:t>
      </w:r>
    </w:p>
    <w:p>
      <w:r>
        <w:t>It ruled that the express provision in Section 6 of RA 10175 is controlling over Section 5 of the IRR, as implementing rules cannot contravene the law itself.</w:t>
      </w:r>
    </w:p>
    <w:p>
      <w:r>
        <w:t>Alternative Penalties for Online Libel: The court clarified that both the RPC and RA 10175 provide for imprisonment or a fine for online libel, depending on the circumstances of the case. The penalties are alternatives, not concurrent.</w:t>
      </w:r>
    </w:p>
    <w:p>
      <w:r>
        <w:t>Procedural Matters:</w:t>
      </w:r>
    </w:p>
    <w:p>
      <w:r>
        <w:t>Applicability of Administrative Circular No. 08-2008 (AC 08-2008) to Online Libel: The court ruled on whether AC 08-2008, which provides guidelines on the imposition of penalties in libel cases, applies to online libel cases under RA 10175.</w:t>
      </w:r>
    </w:p>
    <w:p>
      <w:r>
        <w:t>It held that AC 08-2008 does apply to online libel cases, as it does not supplant the legislative intent of RA 10175 nor does it mandate the imposition of a fine only. The circular guides courts in exercising discretion when imposing the penalty for libel.</w:t>
      </w:r>
    </w:p>
    <w:p/>
    <w:p>
      <w:r>
        <w:rPr>
          <w:b/>
          <w:sz w:val="24"/>
        </w:rPr>
        <w:t>RULINGS</w:t>
      </w:r>
    </w:p>
    <w:p>
      <w:r>
        <w:t>Okay, let's break down the legal issues, their resolutions, and the final disposition of the case.</w:t>
      </w:r>
    </w:p>
    <w:p>
      <w:r>
        <w:t>Legal Issues and Resolutions:</w:t>
      </w:r>
    </w:p>
    <w:p>
      <w:r>
        <w:t>Issue: Whether the Regional Trial Court (RTC) committed grave abuse of discretion in imposing only a fine, rather than imprisonment, upon Soliman's conviction for Online Libel under Section 4(c)(4) of RA 10175, allegedly violating Section 6 of the same law, which mandates a penalty "one degree higher" than that prescribed in the Revised Penal Code (RPC).</w:t>
      </w:r>
    </w:p>
    <w:p>
      <w:r>
        <w:t>Resolution: The Supreme Court (SC) held that the RTC did not commit grave abuse of discretion. Section 6 of RA 10175 does not exclusively apply to imprisonment. The penalty of fine may be increased or decreased by degrees per Article 75 of the RPC, which provides that the penalty of fine may be imposed instead of imprisonment and it may be increased or decreased by degrees. Articles 26, 75, and 355 of the RPC provide that the penalty of fine may be imposed instead of imprisonment and it may be increased or decreased by degrees. The Court also found that the circumstances surrounding the defamatory Facebook post are akin to one of the circumstances enumerated in AC 08-2008; that is, that Soliman was animated by anger and his perception that private complainant Waldo R. Carpio was provoking him by his allegedly intentional delay in releasing Soliman's sanitary and phytosanitary clearance. This finding is confirmed by the fact that, as found by the RTC, Soliman immediately deleted the libelous post once the Secretary of the Department of Agriculture called his attention and apologized to Carpio several times. Further, the Court also finds that the RTC did not gravely abuse its discretion when it set the amount of the fine imposed at ₱50,000.00</w:t>
      </w:r>
    </w:p>
    <w:p>
      <w:r>
        <w:t>Holding: The imposition of a fine as the sole penalty for Online Libel is permissible under RA 10175 and the RPC, particularly when considered in light of Administrative Circular (AC) 08-2008. The fact that Section 6 of RA 10175 mandated that the penalty should be one degree higher than that provided for in the Revised Penal Code does not mean that a penalty of imprisonment must necessarily be imposed.</w:t>
      </w:r>
    </w:p>
    <w:p>
      <w:r>
        <w:t>Issue: Whether seeking a higher penalty in a petition for certiorari, after the accused had already been convicted and paid the fine, violates the accused's right against double jeopardy.</w:t>
      </w:r>
    </w:p>
    <w:p>
      <w:r>
        <w:t>Resolution: The Supreme Court held that a special civil action for certiorari, ascribing as it does grave abuse of discretion on the part of a tribunal in imposing the erroneous or invalid penalty, does not place the accused in double jeopardy. However, if it is ultimately found that there was no grave abuse of discretion on the part of the court in the first jeopardy and the court is not vacated of its jurisdiction, then a writ of certiorari may not be issued and the penalty may not be increased since it violates the right of the accused against double jeopardy.</w:t>
      </w:r>
    </w:p>
    <w:p>
      <w:r>
        <w:t>Holding: Since the RTC had not gravely abused its discretion, to modify or increase such valid penalty would place him in double jeopardy.</w:t>
      </w:r>
    </w:p>
    <w:p>
      <w:r>
        <w:t>Dispositive Portion:</w:t>
      </w:r>
    </w:p>
    <w:p>
      <w:r>
        <w:t>"WHEREFORE, the Petition is DENIED. The Decision dated October 30, 2020 and the Resolution dated May 31, 2021 of the Court of Appeals in CA-G.R. SP No. 162948 are AFFIRMED."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