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Digest – G.R. No. 258887</w:t>
      </w:r>
    </w:p>
    <w:p/>
    <w:tbl>
      <w:tblPr>
        <w:tblStyle w:val="TableGrid"/>
        <w:tblW w:type="auto" w:w="0"/>
        <w:tblLook w:firstColumn="1" w:firstRow="1" w:lastColumn="0" w:lastRow="0" w:noHBand="0" w:noVBand="1" w:val="04A0"/>
      </w:tblPr>
      <w:tblGrid>
        <w:gridCol w:w="4320"/>
        <w:gridCol w:w="4320"/>
      </w:tblGrid>
      <w:tr>
        <w:tc>
          <w:tcPr>
            <w:tcW w:type="dxa" w:w="4320"/>
          </w:tcPr>
          <w:p>
            <w:r>
              <w:t>G.R. Number</w:t>
            </w:r>
          </w:p>
        </w:tc>
        <w:tc>
          <w:tcPr>
            <w:tcW w:type="dxa" w:w="4320"/>
          </w:tcPr>
          <w:p>
            <w:r>
              <w:t>G.R. No. 258887</w:t>
            </w:r>
          </w:p>
        </w:tc>
      </w:tr>
      <w:tr>
        <w:tc>
          <w:tcPr>
            <w:tcW w:type="dxa" w:w="4320"/>
          </w:tcPr>
          <w:p>
            <w:r>
              <w:t>Date of Trial</w:t>
            </w:r>
          </w:p>
        </w:tc>
        <w:tc>
          <w:tcPr>
            <w:tcW w:type="dxa" w:w="4320"/>
          </w:tcPr>
          <w:p>
            <w:r>
              <w:t>July 31, 2023</w:t>
            </w:r>
          </w:p>
        </w:tc>
      </w:tr>
      <w:tr>
        <w:tc>
          <w:tcPr>
            <w:tcW w:type="dxa" w:w="4320"/>
          </w:tcPr>
          <w:p>
            <w:r>
              <w:t>Court Level</w:t>
            </w:r>
          </w:p>
        </w:tc>
        <w:tc>
          <w:tcPr>
            <w:tcW w:type="dxa" w:w="4320"/>
          </w:tcPr>
          <w:p>
            <w:r>
              <w:t>Court Of Appeals</w:t>
            </w:r>
          </w:p>
        </w:tc>
      </w:tr>
      <w:tr>
        <w:tc>
          <w:tcPr>
            <w:tcW w:type="dxa" w:w="4320"/>
          </w:tcPr>
          <w:p>
            <w:r>
              <w:t>Division</w:t>
            </w:r>
          </w:p>
        </w:tc>
        <w:tc>
          <w:tcPr>
            <w:tcW w:type="dxa" w:w="4320"/>
          </w:tcPr>
          <w:p>
            <w:r>
              <w:t>Second Division</w:t>
            </w:r>
          </w:p>
        </w:tc>
      </w:tr>
      <w:tr>
        <w:tc>
          <w:tcPr>
            <w:tcW w:type="dxa" w:w="4320"/>
          </w:tcPr>
          <w:p>
            <w:r>
              <w:t>Is En Banc</w:t>
            </w:r>
          </w:p>
        </w:tc>
        <w:tc>
          <w:tcPr>
            <w:tcW w:type="dxa" w:w="4320"/>
          </w:tcPr>
          <w:p>
            <w:r>
              <w:t>No</w:t>
            </w:r>
          </w:p>
        </w:tc>
      </w:tr>
      <w:tr>
        <w:tc>
          <w:tcPr>
            <w:tcW w:type="dxa" w:w="4320"/>
          </w:tcPr>
          <w:p>
            <w:r>
              <w:t>Petitioners</w:t>
            </w:r>
          </w:p>
        </w:tc>
        <w:tc>
          <w:tcPr>
            <w:tcW w:type="dxa" w:w="4320"/>
          </w:tcPr>
          <w:p>
            <w:r>
              <w:t>Luz Delos Santos, Minors Francis Delos Santos, Catherine Delos Santos, And Lorence Delos Santos, Petitioners</w:t>
            </w:r>
          </w:p>
        </w:tc>
      </w:tr>
      <w:tr>
        <w:tc>
          <w:tcPr>
            <w:tcW w:type="dxa" w:w="4320"/>
          </w:tcPr>
          <w:p>
            <w:r>
              <w:t>Respondents</w:t>
            </w:r>
          </w:p>
        </w:tc>
        <w:tc>
          <w:tcPr>
            <w:tcW w:type="dxa" w:w="4320"/>
          </w:tcPr>
          <w:p>
            <w:r>
              <w:t>Demy Alma M. Delos Santos, Montano M. Delos Santos Joined By His Wife Analiza G. Delos Santos, Irene Angela D. Clemente Joined By Her Husband Angelo Clemente, And Seatiel M. Delos Santos Joined By His Wife Michelle R. Delos Santos, Respondents.</w:t>
            </w:r>
          </w:p>
        </w:tc>
      </w:tr>
      <w:tr>
        <w:tc>
          <w:tcPr>
            <w:tcW w:type="dxa" w:w="4320"/>
          </w:tcPr>
          <w:p>
            <w:r>
              <w:t>Ponente</w:t>
            </w:r>
          </w:p>
        </w:tc>
        <w:tc>
          <w:tcPr>
            <w:tcW w:type="dxa" w:w="4320"/>
          </w:tcPr>
          <w:p>
            <w:r>
              <w:t>Lopez, M. J.</w:t>
            </w:r>
          </w:p>
        </w:tc>
      </w:tr>
    </w:tbl>
    <w:p/>
    <w:p>
      <w:r>
        <w:rPr>
          <w:b/>
          <w:sz w:val="24"/>
        </w:rPr>
        <w:t>FACTS</w:t>
      </w:r>
    </w:p>
    <w:p>
      <w:r>
        <w:t>Here are the plain factual statements extracted from the document, focusing on who, what, when, and where, and excluding legal reasoning:</w:t>
      </w:r>
    </w:p>
    <w:p>
      <w:r>
        <w:t>Who: Respondents (Adalia's children), Adalia (deceased mother), Emerenciano (surviving spouse, deceased), Francis, Catherine, Lorence, Demy, Montano, Irene, Seatiel.</w:t>
      </w:r>
    </w:p>
    <w:p>
      <w:r>
        <w:t>What: Extrajudicial Settlement of Estate with Waiver (EJSW), Deed of Waiver, Quitclaim and Transfer of Residential Buildings, properties formed part of the conjugal properties of Emerenciano and Adalia, Transfer Certificate of Title No. T-15438, Transfer Certificate of Title No. T-15439, Original Certificate of Title No. P-1850, Transfer Certificate of Title No. T-3337, Tax Declaration No. AB00303343, Tax Declaration No. AB00303344, Tax Declaration No. AB00303331, Tax Declaration No. AB00303332, Tax Declaration No. AB00303333, Tax Declaration No. AB00302198, Tax Declaration No. AB00301666, Tax Declaration No. AB00302199, Tax Declaration No. AB00301667, Tax Declaration No. AB00301668</w:t>
      </w:r>
    </w:p>
    <w:p>
      <w:r>
        <w:t>When: Adalia died in 1996.</w:t>
      </w:r>
    </w:p>
    <w:p>
      <w:r>
        <w:t>Where: Olongapo City (Register of Deeds and Office of the City Assessor location), properties are located in this city.</w:t>
      </w:r>
    </w:p>
    <w:p/>
    <w:p>
      <w:r>
        <w:rPr>
          <w:b/>
          <w:sz w:val="24"/>
        </w:rPr>
        <w:t>ISSUES</w:t>
      </w:r>
    </w:p>
    <w:p>
      <w:r>
        <w:t>Based on the provided ruling, here's a breakdown of the legal issues the court formally addressed and resolved, categorized into procedural and substantive matters:</w:t>
      </w:r>
    </w:p>
    <w:p>
      <w:r>
        <w:t>I. Procedural Issues:</w:t>
      </w:r>
    </w:p>
    <w:p>
      <w:r>
        <w:t>Necessity of a Separate Proceeding to Determine Heirship: The court addressed the issue of whether the respondents (Demy, Montano, Irene, and Seatiel) needed to initiate a separate special proceeding to establish their status as legal heirs of Adalia. The court ruled that a separate proceeding was not necessary. This was based on several grounds:</w:t>
      </w:r>
    </w:p>
    <w:p>
      <w:r>
        <w:t>The respondents were not seeking to establish their heirship in the complaint, as they asserted their rights as already established legal heirs by operation of law as Adalia's children.</w:t>
      </w:r>
    </w:p>
    <w:p>
      <w:r>
        <w:t>The petitioners themselves (Luz, Francis, Catherine, and Lorence) raised questions about the respondents' succession rights. The court invoked the principle that a party cannot challenge the court's jurisdiction over an issue they themselves introduced.</w:t>
      </w:r>
    </w:p>
    <w:p>
      <w:r>
        <w:t>The Court cited precedent where a separate special proceeding can be dispensed with for practicality where the parties voluntarily submit evidence regarding heirship and the court adjudicates it or where a special proceeding had been instituted and been terminated.</w:t>
      </w:r>
    </w:p>
    <w:p>
      <w:r>
        <w:t>Jurisdiction: The Court implicitly addressed the jurisdiction of the RTC to determine heirship within the context of the annulment case, as the petitioners challenged this. By ruling that a separate proceeding was not required and affirming the RTC's finding on heirship, the Court effectively upheld the RTC's jurisdiction to resolve the heirship issue within the existing case.</w:t>
      </w:r>
    </w:p>
    <w:p>
      <w:r>
        <w:t>Laches and Prescription: The court specifically addressed the petitioners' argument that the respondents' claim was barred by laches and prescription. The court ruled that laches and prescription did not apply. This was based on the finding that the respondents had no knowledge of the questioned documents until after their father's death, and they sought annulment within a reasonable time after discovering the prejudice to their rights.</w:t>
      </w:r>
    </w:p>
    <w:p>
      <w:r>
        <w:t>II. Substantive Issues:</w:t>
      </w:r>
    </w:p>
    <w:p>
      <w:r>
        <w:t>Validity of the Extrajudicial Settlement of Estate with Waiver (EJSW): The core substantive issue was the validity of the EJSW, particularly concerning the exclusion of the respondents. The court ruled that the EJSW was void insofar as it excluded the respondents from their rightful share in Adalia's estate. This was due to the misrepresentation that Emerenciano and his minor children were the sole heirs of Adalia, contrary to the laws of intestate succession. The court cited Rule 74, Section 1 of the Rules of Court, which states that an extrajudicial settlement is not binding on those who didn't participate or have notice.</w:t>
      </w:r>
    </w:p>
    <w:p>
      <w:r>
        <w:t>Validity of the Deed of Waiver, Quitclaim and Transfer of Residential Buildings: This issue was closely tied to the EJSW. The Court ruled that the Deed of Waiver, Quitclaim and Transfer was also void insofar as it pertained to the respondents' rightful shares. This was a direct consequence of the invalidity of the EJSW in excluding the respondents.</w:t>
      </w:r>
    </w:p>
    <w:p>
      <w:r>
        <w:t>Extent of Validity of Conveyances to Francis, Catherine, and Lorence: The Court recognized that the conveyances to Francis, Catherine, and Lorence were not totally void. The court clarified that Emerenciano had full ownership over his undivided share in the properties (his conjugal share and his inheritance from Adalia's estate). Therefore, the conveyances were valid to the extent of Emerenciano's interest, subject to proper liquidation of the conjugal partnership and partition of Adalia's estate and the determination of the legitime of all the heirs in the settlement of Emerenciano's estate.</w:t>
      </w:r>
    </w:p>
    <w:p>
      <w:r>
        <w:t>Co-ownership: As a consequence of the partial invalidity of the EJSW and Deed, the Court recognized that Francis, Catherine, and Lorence became co-owners of the properties with the respondents.</w:t>
      </w:r>
    </w:p>
    <w:p>
      <w:r>
        <w:t>Status of Francis, Catherine and Lorence as Trustees: The court addressed the issue of the status of Francis, Catherine and Lorence. The Court found that Francis, Catherine and Lorence would act as trustees for the benefit of respondents with respect to any portion that might not be validly transferred and/or might belong to respondents' shares after liquidation and partition.</w:t>
      </w:r>
    </w:p>
    <w:p>
      <w:r>
        <w:t>Status of Child Demy: The court addressed that whether Demy was a natural child or adopted, like Demy, remains to be Adalia's legal heir under the law.</w:t>
      </w:r>
    </w:p>
    <w:p>
      <w:r>
        <w:t>In summary, the court addressed both procedural hurdles and substantive rights, providing a clear resolution on heirship, the validity of the extrajudicial settlement and related deeds, and the extent to which the conveyances to the petitioners could be upheld, subject to future liquidation and partition proceedings.</w:t>
      </w:r>
    </w:p>
    <w:p/>
    <w:p>
      <w:r>
        <w:rPr>
          <w:b/>
          <w:sz w:val="24"/>
        </w:rPr>
        <w:t>RULINGS</w:t>
      </w:r>
    </w:p>
    <w:p>
      <w:r>
        <w:t>Okay, here's a breakdown of the legal issues, the court's resolution, and the dispositive portion of the decision, based on the provided facts:</w:t>
      </w:r>
    </w:p>
    <w:p>
      <w:r>
        <w:t>Issue I: Is a separate proceeding necessary before the trial court can acknowledge respondents' heirship?</w:t>
      </w:r>
    </w:p>
    <w:p>
      <w:r>
        <w:t>Court's Resolution: The provided text does not contain the ruling of the court on this issue.</w:t>
      </w:r>
    </w:p>
    <w:p>
      <w:r>
        <w:t>Holding: Unknown.</w:t>
      </w:r>
    </w:p>
    <w:p>
      <w:r>
        <w:t>Issue II: Did the courts a quo err in nullifying the EJSW and the Deed of Waiver, Quitclaim and Transfer of Residential Buildings, as well as the TCTs and TDs issued by virtue of the nullified deeds?</w:t>
      </w:r>
    </w:p>
    <w:p>
      <w:r>
        <w:t>Court's Resolution: The CA affirmed the RTC ruling in toto. The RTC emphasized that the properties in controversy are conjugal properties of Emerenciano and Adalia. The RTC then recognized Demy, Montano, Irene, and Seatiel as legal heirs entitled to their legitimes from Adalia's estate, being natural and adopted children of Emerenciano and Adalia. Therefore, the deeds of conveyances executed by Emerenciano in favor of his children from his second marriage to the exclusion of Demy, Montano, Irene, and Seatiel are void.</w:t>
      </w:r>
    </w:p>
    <w:p>
      <w:r>
        <w:t>Holding: The EJSW and the Deed of Waiver, Quitclaim and Transfer of Residential Buildings were correctly nullified, and the corresponding TCTs and TDs issued based on those deeds were also correctly cancelled. The conveyances made by Emerenciano to his children from his second marriage (Francis, Catherine, and Lorence) are void to the extent that they prejudiced the legitime of Demy, Montano, Irene, and Seatiel as heirs of Adalia.</w:t>
      </w:r>
    </w:p>
    <w:p>
      <w:r>
        <w:t>Issue III: Was respondents' cause of action already barred by laches and prescription?</w:t>
      </w:r>
    </w:p>
    <w:p>
      <w:r>
        <w:t>Court's Resolution: The provided text does not contain the ruling of the court on this issue.</w:t>
      </w:r>
    </w:p>
    <w:p>
      <w:r>
        <w:t>Holding: Unknown</w:t>
      </w:r>
    </w:p>
    <w:p>
      <w:r>
        <w:t>Dispositive Portion (Based on the RTC decision affirmed by CA):</w:t>
      </w:r>
    </w:p>
    <w:p>
      <w:r>
        <w:t>The RTC ordered:</w:t>
      </w:r>
    </w:p>
    <w:p>
      <w:r>
        <w:t>Recognition and appointment of Luz as legal guardian over her minor children Francis, Catherine, and Lorence.</w:t>
      </w:r>
    </w:p>
    <w:p>
      <w:r>
        <w:t>Annulment of the Extrajudicial Settlement of Estate with Waiver (EJSW).</w:t>
      </w:r>
    </w:p>
    <w:p>
      <w:r>
        <w:t>Annulment of the Deed of Waiver, Quitclaim and Transfer of Residential Buildings.</w:t>
      </w:r>
    </w:p>
    <w:p>
      <w:r>
        <w:t>Direction to the Register of Deeds of Olongapo City to cancel TCT No. T-15438 and revert it back to OCT No. P-1850.</w:t>
      </w:r>
    </w:p>
    <w:p>
      <w:r>
        <w:t>Direction to the Register of Deeds of Olongapo City to cancel TCT No. T-15439 pertaining only to the half portion belonging to the deceased and revert it back to TCT NO. T-3337</w:t>
      </w:r>
    </w:p>
    <w:p>
      <w:r>
        <w:t>Direction to the Office of the City Assessor of Olongapo to cancel the specified Tax Declarations (TDs) and revert them to their original numbers.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