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  <w:rPr>
          <w:rFonts w:ascii="Verdana" w:hAnsi="Verdana"/>
          <w:color w:val="999999"/>
          <w:sz w:val="20"/>
          <w:szCs w:val="20"/>
        </w:rPr>
      </w:pPr>
      <w:r>
        <w:rPr>
          <w:rFonts w:ascii="Verdana" w:hAnsi="Verdana"/>
          <w:color w:val="999999"/>
          <w:sz w:val="20"/>
          <w:szCs w:val="20"/>
        </w:rPr>
        <w:t>ETNOGRAFIA</w:t>
      </w:r>
      <w:bookmarkStart w:id="0" w:name="_GoBack"/>
      <w:bookmarkEnd w:id="0"/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  <w:rPr>
          <w:rFonts w:ascii="Verdana" w:hAnsi="Verdana"/>
          <w:color w:val="999999"/>
          <w:sz w:val="20"/>
          <w:szCs w:val="20"/>
        </w:rPr>
      </w:pP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>Permanece em nós a escolha das palavras e dos gestos, para lhes associarmos, em cada momento, objectos e imagens simbólicas.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>A procura da compreensão deste quotidiano raramente se faz no próprio momento da sua prática.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>Recentemente surgiram os instrumentos e as técnicas de análise social adequadas ao estudo do presente.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>Olhando certos fenómenos sociais, verificamos que neles permanecem muito do que é antigo, ao mesmo tempo que muito do desaparecido parece repetir-se no presente.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>Se neste fenómeno reside algo de oculto, também nessa área do obscuro residem as explicações para muitas das atitudes individuais e colectivas.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>Talvez por isso as religiões encontraram aí o culto e a valorização da superioridade divina em muitas das festividades em muitas das festividades que ao mesmo tempo não o são, ou não o parecem ser.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>Em todas parece haver um pensamento complexo que acompanha os gestos, as palavras, objectos e símbolos, envolvidos de imaterialidade colectiva que lhes dá sentido e organização, os quais variando no espaço e no tempo, transportam no oculto a identidade universal e intemporal do homem.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>Os comportamentos humanos ao variarem, aparentemente, no espaço e no tempo, apenas reflectem diferenças específicas ao nível do conhecimento tecnológico decorrentes dos contextos ecológicos.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 xml:space="preserve">Os sistemas </w:t>
      </w:r>
      <w:proofErr w:type="spellStart"/>
      <w:r>
        <w:rPr>
          <w:rFonts w:ascii="Verdana" w:hAnsi="Verdana"/>
          <w:color w:val="999999"/>
          <w:sz w:val="20"/>
          <w:szCs w:val="20"/>
        </w:rPr>
        <w:t>sócio-culturais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assim construídos, partindo de matrizes distintas nas variáveis, assentam na permanência das estruturas complexas do pensamento humano, que se expressa em mitos onde se apreende todo o tempo e toda a história, usando os ritos e os símbolos que compõem a sua imaterialidade «oculta» dos «cultos».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 xml:space="preserve">Sugerimos assim algumas leituras interpretativas de alguns rituais a partir dos ritos e símbolos, buscando alguma </w:t>
      </w:r>
      <w:r>
        <w:rPr>
          <w:rFonts w:ascii="Verdana" w:hAnsi="Verdana"/>
          <w:color w:val="999999"/>
          <w:sz w:val="20"/>
          <w:szCs w:val="20"/>
        </w:rPr>
        <w:lastRenderedPageBreak/>
        <w:t>articulação analítica, apenas na busca de posteriores contributos.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 xml:space="preserve">As práticas rituais descritas correspondem aos lugares </w:t>
      </w:r>
      <w:proofErr w:type="gramStart"/>
      <w:r>
        <w:rPr>
          <w:rFonts w:ascii="Verdana" w:hAnsi="Verdana"/>
          <w:color w:val="999999"/>
          <w:sz w:val="20"/>
          <w:szCs w:val="20"/>
        </w:rPr>
        <w:t>da primeiras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experiências agrícolas do Neolítico e recolhidas nas freguesias que se situam no planalto de </w:t>
      </w:r>
      <w:proofErr w:type="spellStart"/>
      <w:r>
        <w:rPr>
          <w:rFonts w:ascii="Verdana" w:hAnsi="Verdana"/>
          <w:color w:val="999999"/>
          <w:sz w:val="20"/>
          <w:szCs w:val="20"/>
        </w:rPr>
        <w:t>Montelongo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que se desenvolve na parte Este e Noroeste do Concelho de Fafe e na freguesia de Rego do Concelho de Celorico de Basto, e que integra aquela plataforma. 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 xml:space="preserve">Esta, pela sua configuração </w:t>
      </w:r>
      <w:proofErr w:type="spellStart"/>
      <w:r>
        <w:rPr>
          <w:rFonts w:ascii="Verdana" w:hAnsi="Verdana"/>
          <w:color w:val="999999"/>
          <w:sz w:val="20"/>
          <w:szCs w:val="20"/>
        </w:rPr>
        <w:t>geomorfológica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terá estado na origem da antiga designação de </w:t>
      </w:r>
      <w:proofErr w:type="spellStart"/>
      <w:r>
        <w:rPr>
          <w:rFonts w:ascii="Verdana" w:hAnsi="Verdana"/>
          <w:color w:val="999999"/>
          <w:sz w:val="20"/>
          <w:szCs w:val="20"/>
        </w:rPr>
        <w:t>Montelongo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atribuída ao concelho de Fafe.</w:t>
      </w:r>
    </w:p>
    <w:p w:rsidR="00582087" w:rsidRDefault="00582087" w:rsidP="00582087">
      <w:pPr>
        <w:pStyle w:val="NormalWeb"/>
        <w:spacing w:before="0" w:beforeAutospacing="0" w:after="0" w:afterAutospacing="0" w:line="360" w:lineRule="auto"/>
        <w:ind w:left="1050" w:right="1050"/>
      </w:pPr>
      <w:r>
        <w:rPr>
          <w:rFonts w:ascii="Verdana" w:hAnsi="Verdana"/>
          <w:color w:val="999999"/>
          <w:sz w:val="20"/>
          <w:szCs w:val="20"/>
        </w:rPr>
        <w:t>Apresentamos esta nossa interpretação como contributo modesto para um melhor conhecimento da região.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87"/>
    <w:rsid w:val="00362B54"/>
    <w:rsid w:val="0058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2012-01-30T19:16:00Z</dcterms:created>
  <dcterms:modified xsi:type="dcterms:W3CDTF">2012-01-30T19:16:00Z</dcterms:modified>
</cp:coreProperties>
</file>