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326" w:rsidRPr="00BF2326" w:rsidRDefault="00BF2326" w:rsidP="00BF2326">
      <w:pPr>
        <w:keepNext/>
        <w:spacing w:before="240" w:after="60" w:line="360" w:lineRule="auto"/>
        <w:ind w:right="-285"/>
        <w:jc w:val="both"/>
        <w:outlineLvl w:val="1"/>
        <w:rPr>
          <w:rFonts w:ascii="Times New Roman" w:eastAsia="Times New Roman" w:hAnsi="Times New Roman" w:cs="Times New Roman"/>
          <w:b/>
          <w:bCs/>
          <w:sz w:val="24"/>
          <w:szCs w:val="24"/>
          <w:lang w:eastAsia="pt-PT"/>
        </w:rPr>
      </w:pPr>
      <w:bookmarkStart w:id="0" w:name="_Toc391893279"/>
      <w:r w:rsidRPr="00BF2326">
        <w:rPr>
          <w:rFonts w:ascii="Verdana" w:eastAsia="Times New Roman" w:hAnsi="Verdana" w:cs="Times New Roman"/>
          <w:b/>
          <w:bCs/>
          <w:caps/>
          <w:color w:val="999999"/>
          <w:sz w:val="20"/>
          <w:szCs w:val="20"/>
          <w:lang w:eastAsia="pt-PT"/>
        </w:rPr>
        <w:t>Alguns indicadores demográficos</w:t>
      </w:r>
      <w:bookmarkEnd w:id="0"/>
    </w:p>
    <w:p w:rsidR="00BF2326" w:rsidRPr="00BF2326" w:rsidRDefault="00BF2326" w:rsidP="00BF2326">
      <w:pPr>
        <w:keepNext/>
        <w:spacing w:after="0" w:line="240" w:lineRule="auto"/>
        <w:ind w:right="-285"/>
        <w:jc w:val="both"/>
        <w:outlineLvl w:val="1"/>
        <w:rPr>
          <w:rFonts w:ascii="Times New Roman" w:eastAsia="Times New Roman" w:hAnsi="Times New Roman" w:cs="Times New Roman"/>
          <w:b/>
          <w:bCs/>
          <w:sz w:val="24"/>
          <w:szCs w:val="24"/>
          <w:lang w:eastAsia="pt-PT"/>
        </w:rPr>
      </w:pPr>
      <w:r w:rsidRPr="00BF2326">
        <w:rPr>
          <w:rFonts w:ascii="Verdana" w:eastAsia="Times New Roman" w:hAnsi="Verdana" w:cs="Times New Roman"/>
          <w:color w:val="999999"/>
          <w:sz w:val="16"/>
          <w:szCs w:val="16"/>
          <w:lang w:eastAsia="pt-PT"/>
        </w:rPr>
        <w:t xml:space="preserve">Miguel Monteiro (1996), </w:t>
      </w:r>
    </w:p>
    <w:p w:rsidR="00BF2326" w:rsidRPr="00BF2326" w:rsidRDefault="00BF2326" w:rsidP="00BF2326">
      <w:pPr>
        <w:keepNext/>
        <w:spacing w:after="0" w:line="240" w:lineRule="auto"/>
        <w:ind w:right="-285"/>
        <w:jc w:val="both"/>
        <w:outlineLvl w:val="1"/>
        <w:rPr>
          <w:rFonts w:ascii="Times New Roman" w:eastAsia="Times New Roman" w:hAnsi="Times New Roman" w:cs="Times New Roman"/>
          <w:b/>
          <w:bCs/>
          <w:sz w:val="24"/>
          <w:szCs w:val="24"/>
          <w:lang w:eastAsia="pt-PT"/>
        </w:rPr>
      </w:pPr>
      <w:r w:rsidRPr="00BF2326">
        <w:rPr>
          <w:rFonts w:ascii="Verdana" w:eastAsia="Times New Roman" w:hAnsi="Verdana" w:cs="Times New Roman"/>
          <w:color w:val="999999"/>
          <w:sz w:val="16"/>
          <w:szCs w:val="16"/>
          <w:lang w:eastAsia="pt-PT"/>
        </w:rPr>
        <w:t>Migrantes, Emigrantes e Brasileiros,</w:t>
      </w:r>
    </w:p>
    <w:p w:rsidR="00BF2326" w:rsidRPr="00BF2326" w:rsidRDefault="00BF2326" w:rsidP="00BF2326">
      <w:pPr>
        <w:keepNext/>
        <w:spacing w:after="0" w:line="240" w:lineRule="auto"/>
        <w:ind w:right="-285"/>
        <w:jc w:val="both"/>
        <w:outlineLvl w:val="1"/>
        <w:rPr>
          <w:rFonts w:ascii="Times New Roman" w:eastAsia="Times New Roman" w:hAnsi="Times New Roman" w:cs="Times New Roman"/>
          <w:b/>
          <w:bCs/>
          <w:sz w:val="24"/>
          <w:szCs w:val="24"/>
          <w:lang w:eastAsia="pt-PT"/>
        </w:rPr>
      </w:pPr>
      <w:r w:rsidRPr="00BF2326">
        <w:rPr>
          <w:rFonts w:ascii="Verdana" w:eastAsia="Times New Roman" w:hAnsi="Verdana" w:cs="Times New Roman"/>
          <w:color w:val="999999"/>
          <w:sz w:val="16"/>
          <w:szCs w:val="16"/>
          <w:lang w:eastAsia="pt-PT"/>
        </w:rPr>
        <w:t>Territórios, itinerários e trajectórias,</w:t>
      </w:r>
    </w:p>
    <w:p w:rsidR="00BF2326" w:rsidRPr="00BF2326" w:rsidRDefault="00BF2326" w:rsidP="00BF2326">
      <w:pPr>
        <w:keepNext/>
        <w:spacing w:after="0" w:line="240" w:lineRule="auto"/>
        <w:ind w:right="-285"/>
        <w:jc w:val="both"/>
        <w:outlineLvl w:val="1"/>
        <w:rPr>
          <w:rFonts w:ascii="Times New Roman" w:eastAsia="Times New Roman" w:hAnsi="Times New Roman" w:cs="Times New Roman"/>
          <w:b/>
          <w:bCs/>
          <w:sz w:val="24"/>
          <w:szCs w:val="24"/>
          <w:lang w:eastAsia="pt-PT"/>
        </w:rPr>
      </w:pPr>
      <w:r w:rsidRPr="00BF2326">
        <w:rPr>
          <w:rFonts w:ascii="Verdana" w:eastAsia="Times New Roman" w:hAnsi="Verdana" w:cs="Times New Roman"/>
          <w:color w:val="999999"/>
          <w:sz w:val="16"/>
          <w:szCs w:val="16"/>
          <w:lang w:eastAsia="pt-PT"/>
        </w:rPr>
        <w:t>Braga, Universidade do Minho</w:t>
      </w:r>
    </w:p>
    <w:p w:rsidR="00BF2326" w:rsidRPr="00BF2326" w:rsidRDefault="00BF2326" w:rsidP="00BF2326">
      <w:pPr>
        <w:spacing w:after="0" w:line="240" w:lineRule="auto"/>
        <w:ind w:right="-285"/>
        <w:jc w:val="both"/>
        <w:rPr>
          <w:rFonts w:ascii="Times New Roman" w:eastAsia="Times New Roman" w:hAnsi="Times New Roman" w:cs="Times New Roman"/>
          <w:sz w:val="24"/>
          <w:szCs w:val="24"/>
          <w:lang w:eastAsia="pt-PT"/>
        </w:rPr>
      </w:pPr>
      <w:r w:rsidRPr="00BF2326">
        <w:rPr>
          <w:rFonts w:ascii="Times New Roman" w:eastAsia="Times New Roman" w:hAnsi="Times New Roman" w:cs="Times New Roman"/>
          <w:sz w:val="24"/>
          <w:szCs w:val="24"/>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Em 1527, contava-se «para todo o país cerca de 280500 fogos, a que corresponderiam entre 1:100.000 e 1:400.000 almas.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Times New Roman" w:eastAsia="Times New Roman" w:hAnsi="Times New Roman" w:cs="Times New Roman"/>
          <w:sz w:val="24"/>
          <w:szCs w:val="24"/>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Tais valores permitem estimar uma densidade de povoamento da ordem dos 13 a 15 </w:t>
      </w:r>
      <w:proofErr w:type="spellStart"/>
      <w:r w:rsidRPr="00BF2326">
        <w:rPr>
          <w:rFonts w:ascii="Verdana" w:eastAsia="Times New Roman" w:hAnsi="Verdana" w:cs="Times New Roman"/>
          <w:color w:val="999999"/>
          <w:sz w:val="20"/>
          <w:szCs w:val="20"/>
          <w:lang w:eastAsia="pt-PT"/>
        </w:rPr>
        <w:t>hab</w:t>
      </w:r>
      <w:proofErr w:type="spellEnd"/>
      <w:r w:rsidRPr="00BF2326">
        <w:rPr>
          <w:rFonts w:ascii="Verdana" w:eastAsia="Times New Roman" w:hAnsi="Verdana" w:cs="Times New Roman"/>
          <w:color w:val="999999"/>
          <w:sz w:val="20"/>
          <w:szCs w:val="20"/>
          <w:lang w:eastAsia="pt-PT"/>
        </w:rPr>
        <w:t>./Km</w:t>
      </w:r>
      <w:r w:rsidRPr="00BF2326">
        <w:rPr>
          <w:rFonts w:ascii="Verdana" w:eastAsia="Times New Roman" w:hAnsi="Verdana" w:cs="Times New Roman"/>
          <w:color w:val="999999"/>
          <w:sz w:val="20"/>
          <w:szCs w:val="20"/>
          <w:vertAlign w:val="superscript"/>
          <w:lang w:eastAsia="pt-PT"/>
        </w:rPr>
        <w:t xml:space="preserve">2. [...] </w:t>
      </w:r>
      <w:r w:rsidRPr="00BF2326">
        <w:rPr>
          <w:rFonts w:ascii="Verdana" w:eastAsia="Times New Roman" w:hAnsi="Verdana" w:cs="Times New Roman"/>
          <w:color w:val="999999"/>
          <w:sz w:val="20"/>
          <w:szCs w:val="20"/>
          <w:lang w:eastAsia="pt-PT"/>
        </w:rPr>
        <w:t>De acordo com os efectivos arrolados na comarca de Entre Douro e Minho, de todas, existiriam para cima de 55 000 fogos, correspondendo a perto de um quinto do total»</w:t>
      </w:r>
      <w:hyperlink r:id="rId5" w:anchor="_ftn4" w:tooltip="" w:history="1">
        <w:r w:rsidRPr="00BF2326">
          <w:rPr>
            <w:rFonts w:ascii="Verdana" w:eastAsia="Times New Roman" w:hAnsi="Verdana" w:cs="Times New Roman"/>
            <w:color w:val="999999"/>
            <w:sz w:val="20"/>
            <w:szCs w:val="20"/>
            <w:u w:val="single"/>
            <w:vertAlign w:val="superscript"/>
            <w:lang w:eastAsia="pt-PT"/>
          </w:rPr>
          <w:t>[4]</w:t>
        </w:r>
      </w:hyperlink>
      <w:r w:rsidRPr="00BF2326">
        <w:rPr>
          <w:rFonts w:ascii="Verdana" w:eastAsia="Times New Roman" w:hAnsi="Verdana" w:cs="Times New Roman"/>
          <w:color w:val="999999"/>
          <w:sz w:val="20"/>
          <w:szCs w:val="20"/>
          <w:lang w:eastAsia="pt-PT"/>
        </w:rPr>
        <w:t xml:space="preserve">.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Times New Roman" w:eastAsia="Times New Roman" w:hAnsi="Times New Roman" w:cs="Times New Roman"/>
          <w:sz w:val="24"/>
          <w:szCs w:val="24"/>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Por sua vez, as terras de </w:t>
      </w:r>
      <w:proofErr w:type="spellStart"/>
      <w:r w:rsidRPr="00BF2326">
        <w:rPr>
          <w:rFonts w:ascii="Verdana" w:eastAsia="Times New Roman" w:hAnsi="Verdana" w:cs="Times New Roman"/>
          <w:color w:val="999999"/>
          <w:sz w:val="20"/>
          <w:szCs w:val="20"/>
          <w:lang w:eastAsia="pt-PT"/>
        </w:rPr>
        <w:t>Montelongo</w:t>
      </w:r>
      <w:proofErr w:type="spellEnd"/>
      <w:r w:rsidRPr="00BF2326">
        <w:rPr>
          <w:rFonts w:ascii="Verdana" w:eastAsia="Times New Roman" w:hAnsi="Verdana" w:cs="Times New Roman"/>
          <w:color w:val="999999"/>
          <w:sz w:val="20"/>
          <w:szCs w:val="20"/>
          <w:lang w:eastAsia="pt-PT"/>
        </w:rPr>
        <w:t>, segundo a mesma fonte, teria cerca de 1300 fogos o que corresponderia a uma população de cerca de 5 850 e 6500 almas.</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Times New Roman" w:eastAsia="Times New Roman" w:hAnsi="Times New Roman" w:cs="Times New Roman"/>
          <w:sz w:val="24"/>
          <w:szCs w:val="24"/>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O </w:t>
      </w:r>
      <w:proofErr w:type="spellStart"/>
      <w:r w:rsidRPr="00BF2326">
        <w:rPr>
          <w:rFonts w:ascii="Verdana" w:eastAsia="Times New Roman" w:hAnsi="Verdana" w:cs="Times New Roman"/>
          <w:color w:val="999999"/>
          <w:sz w:val="20"/>
          <w:szCs w:val="20"/>
          <w:lang w:eastAsia="pt-PT"/>
        </w:rPr>
        <w:t>numeramento</w:t>
      </w:r>
      <w:proofErr w:type="spellEnd"/>
      <w:r w:rsidRPr="00BF2326">
        <w:rPr>
          <w:rFonts w:ascii="Verdana" w:eastAsia="Times New Roman" w:hAnsi="Verdana" w:cs="Times New Roman"/>
          <w:color w:val="999999"/>
          <w:sz w:val="20"/>
          <w:szCs w:val="20"/>
          <w:lang w:eastAsia="pt-PT"/>
        </w:rPr>
        <w:t xml:space="preserve"> a que nos estamos a referir, para além de constituir um indicador demográfico para o país, permite-nos construir uma ideia do espaço ocupado e respectiva representação cartográfica, ainda que estejamos certos de estarmos perante um povoamento disperso por casais ou aglomerados integrados em quadros administrativos particulares: concelho, coutos e honras.</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Times New Roman" w:eastAsia="Times New Roman" w:hAnsi="Times New Roman" w:cs="Times New Roman"/>
          <w:sz w:val="24"/>
          <w:szCs w:val="24"/>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Em 1736 o concelho aparece referido como possuindo onze freguesias: Santa Comba de Fornelos, Santo Estevão de Vinhós, Santa Eulália de Revelhe, São Martinho de Medelo, São Tomé de Estorãos, Santa Maria de Ribeiros, São Bartolomeu de São Gens, São Martinho de Quinchães, Nossa Senhora de Antime, São Martinho de Armil e Santa Eulália Antiga de Fafe.</w:t>
      </w:r>
      <w:hyperlink r:id="rId6" w:anchor="_ftn8" w:history="1">
        <w:r w:rsidRPr="00BF2326">
          <w:rPr>
            <w:rFonts w:ascii="Verdana" w:eastAsia="Times New Roman" w:hAnsi="Verdana" w:cs="Times New Roman"/>
            <w:color w:val="999999"/>
            <w:sz w:val="20"/>
            <w:szCs w:val="20"/>
            <w:u w:val="single"/>
            <w:lang w:eastAsia="pt-PT"/>
          </w:rPr>
          <w:t>[8]</w:t>
        </w:r>
      </w:hyperlink>
      <w:r w:rsidRPr="00BF2326">
        <w:rPr>
          <w:rFonts w:ascii="Verdana" w:eastAsia="Times New Roman" w:hAnsi="Verdana" w:cs="Times New Roman"/>
          <w:color w:val="999999"/>
          <w:sz w:val="20"/>
          <w:szCs w:val="20"/>
          <w:lang w:eastAsia="pt-PT"/>
        </w:rPr>
        <w:t xml:space="preserve">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Times New Roman" w:eastAsia="Times New Roman" w:hAnsi="Times New Roman" w:cs="Times New Roman"/>
          <w:sz w:val="24"/>
          <w:szCs w:val="24"/>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As 33 freguesias referidas por Carvalho Costa distribuíam-se pelo concelho de </w:t>
      </w:r>
      <w:proofErr w:type="spellStart"/>
      <w:r w:rsidRPr="00BF2326">
        <w:rPr>
          <w:rFonts w:ascii="Verdana" w:eastAsia="Times New Roman" w:hAnsi="Verdana" w:cs="Times New Roman"/>
          <w:color w:val="999999"/>
          <w:sz w:val="20"/>
          <w:szCs w:val="20"/>
          <w:lang w:eastAsia="pt-PT"/>
        </w:rPr>
        <w:t>Montelongo</w:t>
      </w:r>
      <w:proofErr w:type="spellEnd"/>
      <w:r w:rsidRPr="00BF2326">
        <w:rPr>
          <w:rFonts w:ascii="Verdana" w:eastAsia="Times New Roman" w:hAnsi="Verdana" w:cs="Times New Roman"/>
          <w:color w:val="999999"/>
          <w:sz w:val="20"/>
          <w:szCs w:val="20"/>
          <w:lang w:eastAsia="pt-PT"/>
        </w:rPr>
        <w:t xml:space="preserve">, termo de Guimarães, Cabeceiras e Celorico de Basto.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Times New Roman" w:eastAsia="Times New Roman" w:hAnsi="Times New Roman" w:cs="Times New Roman"/>
          <w:sz w:val="24"/>
          <w:szCs w:val="24"/>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Em Carvalho da Costa, além das freguesias e do estatuto administrativo a que estava sujeitas, podemos contar, para as freguesias que actualmente integram o concelho de Fafe, 2569 fogos, o que corresponderia a cerca de 11 560 habitantes.</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Times New Roman" w:eastAsia="Times New Roman" w:hAnsi="Times New Roman" w:cs="Times New Roman"/>
          <w:sz w:val="24"/>
          <w:szCs w:val="24"/>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Apresentamos, no quadro que se segue, a população do concelho entre 1864 e 1920. A evolução da população residente do Concelho de Fafe fornecida pelos censos</w:t>
      </w:r>
      <w:proofErr w:type="gramStart"/>
      <w:r w:rsidRPr="00BF2326">
        <w:rPr>
          <w:rFonts w:ascii="Verdana" w:eastAsia="Times New Roman" w:hAnsi="Verdana" w:cs="Times New Roman"/>
          <w:color w:val="999999"/>
          <w:sz w:val="20"/>
          <w:szCs w:val="20"/>
          <w:lang w:eastAsia="pt-PT"/>
        </w:rPr>
        <w:t>,</w:t>
      </w:r>
      <w:proofErr w:type="gramEnd"/>
      <w:r w:rsidRPr="00BF2326">
        <w:rPr>
          <w:rFonts w:ascii="Verdana" w:eastAsia="Times New Roman" w:hAnsi="Verdana" w:cs="Times New Roman"/>
          <w:color w:val="999999"/>
          <w:sz w:val="20"/>
          <w:szCs w:val="20"/>
          <w:lang w:eastAsia="pt-PT"/>
        </w:rPr>
        <w:t xml:space="preserve"> foi </w:t>
      </w:r>
      <w:r w:rsidRPr="00BF2326">
        <w:rPr>
          <w:rFonts w:ascii="Verdana" w:eastAsia="Times New Roman" w:hAnsi="Verdana" w:cs="Times New Roman"/>
          <w:color w:val="999999"/>
          <w:sz w:val="20"/>
          <w:szCs w:val="20"/>
          <w:lang w:eastAsia="pt-PT"/>
        </w:rPr>
        <w:lastRenderedPageBreak/>
        <w:t>tendencialmente crescente entre 1864 e 1920, ainda que neste último ano se observe uma ligeira redução da população.</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No que se refere à evolução da população das freguesias do Concelho, observam-se disparidades no crescimento da sua população, podendo encontrar-se como explicações a diferente localização geográfica, na perspectiva </w:t>
      </w:r>
      <w:proofErr w:type="spellStart"/>
      <w:r w:rsidRPr="00BF2326">
        <w:rPr>
          <w:rFonts w:ascii="Verdana" w:eastAsia="Times New Roman" w:hAnsi="Verdana" w:cs="Times New Roman"/>
          <w:color w:val="999999"/>
          <w:sz w:val="20"/>
          <w:szCs w:val="20"/>
          <w:lang w:eastAsia="pt-PT"/>
        </w:rPr>
        <w:t>geomorfológica</w:t>
      </w:r>
      <w:proofErr w:type="spellEnd"/>
      <w:r w:rsidRPr="00BF2326">
        <w:rPr>
          <w:rFonts w:ascii="Verdana" w:eastAsia="Times New Roman" w:hAnsi="Verdana" w:cs="Times New Roman"/>
          <w:color w:val="999999"/>
          <w:sz w:val="20"/>
          <w:szCs w:val="20"/>
          <w:lang w:eastAsia="pt-PT"/>
        </w:rPr>
        <w:t xml:space="preserve"> do território atrás descrita, com implicações diferenciadas nas actividades económicas: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-a evolução nos processos de procura de emprego e outros mecanismos da mobilidade da população;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-a organização espacial e sua disposição face ao tradicional centro de referência de poder político-administrativo (a urbe e freguesia de Fafe), nomeadamente acessibilidade e distância; </w:t>
      </w:r>
    </w:p>
    <w:p w:rsidR="00BF2326" w:rsidRPr="00BF2326" w:rsidRDefault="00BF2326" w:rsidP="00BF2326">
      <w:pPr>
        <w:spacing w:after="10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-a proximidade da cidade de Guimarães</w:t>
      </w:r>
      <w:proofErr w:type="gramStart"/>
      <w:r w:rsidRPr="00BF2326">
        <w:rPr>
          <w:rFonts w:ascii="Verdana" w:eastAsia="Times New Roman" w:hAnsi="Verdana" w:cs="Times New Roman"/>
          <w:color w:val="999999"/>
          <w:sz w:val="20"/>
          <w:szCs w:val="20"/>
          <w:lang w:eastAsia="pt-PT"/>
        </w:rPr>
        <w:t>,</w:t>
      </w:r>
      <w:proofErr w:type="gramEnd"/>
      <w:r w:rsidRPr="00BF2326">
        <w:rPr>
          <w:rFonts w:ascii="Verdana" w:eastAsia="Times New Roman" w:hAnsi="Verdana" w:cs="Times New Roman"/>
          <w:color w:val="999999"/>
          <w:sz w:val="20"/>
          <w:szCs w:val="20"/>
          <w:lang w:eastAsia="pt-PT"/>
        </w:rPr>
        <w:t xml:space="preserve"> o ser atravessado por vias importantes que o cruzam.</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w:t>
      </w:r>
    </w:p>
    <w:p w:rsidR="00BF2326" w:rsidRPr="00BF2326" w:rsidRDefault="00BF2326" w:rsidP="00BF2326">
      <w:pPr>
        <w:spacing w:after="0" w:line="360" w:lineRule="auto"/>
        <w:ind w:right="-285"/>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Na envolvência da freguesia de Fafe, situam-se um conjunto de oito freguesias cuja população é tendencialmente crescente, podendo contar-se as de Estorãos, Golães, Medelo, Passos, Quinchães, Santa Cristina de Arões, São Gens, São Romão de Arões.</w:t>
      </w:r>
    </w:p>
    <w:p w:rsidR="00362B54" w:rsidRDefault="00362B54" w:rsidP="00BF2326">
      <w:pPr>
        <w:ind w:right="-285"/>
        <w:jc w:val="both"/>
      </w:pPr>
    </w:p>
    <w:p w:rsidR="00BF2326" w:rsidRDefault="00BF2326" w:rsidP="00BF2326">
      <w:pPr>
        <w:ind w:right="-285"/>
        <w:jc w:val="both"/>
      </w:pPr>
    </w:p>
    <w:p w:rsidR="00BF2326" w:rsidRPr="00BF2326" w:rsidRDefault="00BF2326" w:rsidP="00BF2326">
      <w:pPr>
        <w:spacing w:before="120" w:after="120" w:line="240" w:lineRule="auto"/>
        <w:ind w:left="993"/>
        <w:jc w:val="both"/>
        <w:rPr>
          <w:rFonts w:ascii="Times New Roman" w:eastAsia="Times New Roman" w:hAnsi="Times New Roman" w:cs="Times New Roman"/>
          <w:sz w:val="24"/>
          <w:szCs w:val="24"/>
          <w:lang w:eastAsia="pt-PT"/>
        </w:rPr>
      </w:pPr>
      <w:bookmarkStart w:id="1" w:name="_Toc392046235"/>
      <w:r w:rsidRPr="00BF2326">
        <w:rPr>
          <w:rFonts w:ascii="Verdana" w:eastAsia="Times New Roman" w:hAnsi="Verdana" w:cs="Times New Roman"/>
          <w:color w:val="999999"/>
          <w:sz w:val="20"/>
          <w:szCs w:val="20"/>
          <w:lang w:eastAsia="pt-PT"/>
        </w:rPr>
        <w:t xml:space="preserve">Quadro </w:t>
      </w:r>
      <w:bookmarkEnd w:id="1"/>
      <w:r w:rsidRPr="00BF2326">
        <w:rPr>
          <w:rFonts w:ascii="Verdana" w:eastAsia="Times New Roman" w:hAnsi="Verdana" w:cs="Times New Roman"/>
          <w:color w:val="999999"/>
          <w:sz w:val="20"/>
          <w:szCs w:val="20"/>
          <w:lang w:eastAsia="pt-PT"/>
        </w:rPr>
        <w:t>7 - População residente nas 36 freguesias do concelho, segundo os censos.</w:t>
      </w:r>
    </w:p>
    <w:tbl>
      <w:tblPr>
        <w:tblpPr w:leftFromText="141" w:rightFromText="141" w:vertAnchor="text" w:horzAnchor="margin" w:tblpXSpec="center" w:tblpY="-6163"/>
        <w:tblW w:w="11730" w:type="dxa"/>
        <w:tblCellMar>
          <w:left w:w="0" w:type="dxa"/>
          <w:right w:w="0" w:type="dxa"/>
        </w:tblCellMar>
        <w:tblLook w:val="04A0" w:firstRow="1" w:lastRow="0" w:firstColumn="1" w:lastColumn="0" w:noHBand="0" w:noVBand="1"/>
      </w:tblPr>
      <w:tblGrid>
        <w:gridCol w:w="2727"/>
        <w:gridCol w:w="1493"/>
        <w:gridCol w:w="1493"/>
        <w:gridCol w:w="1493"/>
        <w:gridCol w:w="1508"/>
        <w:gridCol w:w="1508"/>
        <w:gridCol w:w="1508"/>
      </w:tblGrid>
      <w:tr w:rsidR="00BF2326" w:rsidRPr="00BF2326" w:rsidTr="00BF2326">
        <w:trPr>
          <w:trHeight w:val="285"/>
        </w:trPr>
        <w:tc>
          <w:tcPr>
            <w:tcW w:w="2727" w:type="dxa"/>
            <w:tcBorders>
              <w:top w:val="double" w:sz="6" w:space="0" w:color="auto"/>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bookmarkStart w:id="2" w:name="_GoBack"/>
            <w:bookmarkEnd w:id="2"/>
            <w:r w:rsidRPr="00BF2326">
              <w:rPr>
                <w:rFonts w:ascii="Verdana" w:eastAsia="Times New Roman" w:hAnsi="Verdana" w:cs="Times New Roman"/>
                <w:b/>
                <w:bCs/>
                <w:smallCaps/>
                <w:color w:val="999999"/>
                <w:sz w:val="20"/>
                <w:szCs w:val="20"/>
                <w:lang w:eastAsia="pt-PT"/>
              </w:rPr>
              <w:lastRenderedPageBreak/>
              <w:t>Freguesias</w:t>
            </w:r>
          </w:p>
        </w:tc>
        <w:tc>
          <w:tcPr>
            <w:tcW w:w="1493" w:type="dxa"/>
            <w:tcBorders>
              <w:top w:val="double" w:sz="6" w:space="0" w:color="auto"/>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1864</w:t>
            </w:r>
          </w:p>
        </w:tc>
        <w:tc>
          <w:tcPr>
            <w:tcW w:w="1493" w:type="dxa"/>
            <w:tcBorders>
              <w:top w:val="double" w:sz="6" w:space="0" w:color="auto"/>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1878</w:t>
            </w:r>
          </w:p>
        </w:tc>
        <w:tc>
          <w:tcPr>
            <w:tcW w:w="1493" w:type="dxa"/>
            <w:tcBorders>
              <w:top w:val="double" w:sz="6" w:space="0" w:color="auto"/>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1890</w:t>
            </w:r>
          </w:p>
        </w:tc>
        <w:tc>
          <w:tcPr>
            <w:tcW w:w="1508" w:type="dxa"/>
            <w:tcBorders>
              <w:top w:val="double" w:sz="6" w:space="0" w:color="auto"/>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1900</w:t>
            </w:r>
          </w:p>
        </w:tc>
        <w:tc>
          <w:tcPr>
            <w:tcW w:w="1508" w:type="dxa"/>
            <w:tcBorders>
              <w:top w:val="double" w:sz="6" w:space="0" w:color="auto"/>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1911</w:t>
            </w:r>
          </w:p>
        </w:tc>
        <w:tc>
          <w:tcPr>
            <w:tcW w:w="1508" w:type="dxa"/>
            <w:tcBorders>
              <w:top w:val="double" w:sz="6" w:space="0" w:color="auto"/>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1920</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Aboim</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653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656</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600</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636</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664</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611</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Agrela</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290</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289</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288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318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318</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290</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Antime</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519</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553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584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627</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749</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734</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Ardegão</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265</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284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266</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Armil          </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548</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621</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565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589</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637</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624</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Arnozela </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534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291</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355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275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594</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542</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Cepães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648</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813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731</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794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858</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857</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Estorãos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741</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805</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873</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838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938</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936</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Fafe</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2080</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2524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3071</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3615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4534</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4698</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Fareja</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376</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438</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355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419</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457</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424</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Felgueiras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130</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135</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145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136</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123</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Fornelos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450</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448</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490</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512</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592</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582</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Freitas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584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580</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597</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688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752</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793</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Golães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748</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850</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938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973</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1163</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1091</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Gontim</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228</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243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207</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209</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211</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215</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Medelo</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269</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325</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331</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384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438</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413</w:t>
            </w:r>
          </w:p>
        </w:tc>
      </w:tr>
      <w:tr w:rsidR="00BF2326" w:rsidRPr="00BF2326" w:rsidTr="00BF2326">
        <w:trPr>
          <w:trHeight w:val="225"/>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25" w:lineRule="atLeast"/>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Monte</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25" w:lineRule="atLeast"/>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735</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25" w:lineRule="atLeast"/>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756</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25" w:lineRule="atLeast"/>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840</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25" w:lineRule="atLeast"/>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835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25" w:lineRule="atLeast"/>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944</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25" w:lineRule="atLeast"/>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922</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Moreira de Rei </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1423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1430</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1539</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1548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1649</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1681</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Passos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503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553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570</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612</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668</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659</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Pedraído</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286</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353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333</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495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347</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375</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Queimadela</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1063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1047</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1078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1131</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1107</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1141</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Quinchães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1120</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1204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1174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1294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1437</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1407</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Regadas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679</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694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678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762</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810</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776</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Revelhe</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647</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667</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688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678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742</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786</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Ribeiros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547</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528</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573</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595</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599</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661</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proofErr w:type="spellStart"/>
            <w:r w:rsidRPr="00BF2326">
              <w:rPr>
                <w:rFonts w:ascii="Verdana" w:eastAsia="Times New Roman" w:hAnsi="Verdana" w:cs="Times New Roman"/>
                <w:color w:val="999999"/>
                <w:sz w:val="20"/>
                <w:szCs w:val="20"/>
                <w:lang w:eastAsia="pt-PT"/>
              </w:rPr>
              <w:t>Stª.Cristina</w:t>
            </w:r>
            <w:proofErr w:type="spellEnd"/>
            <w:r w:rsidRPr="00BF2326">
              <w:rPr>
                <w:rFonts w:ascii="Verdana" w:eastAsia="Times New Roman" w:hAnsi="Verdana" w:cs="Times New Roman"/>
                <w:color w:val="999999"/>
                <w:sz w:val="20"/>
                <w:szCs w:val="20"/>
                <w:lang w:eastAsia="pt-PT"/>
              </w:rPr>
              <w:t xml:space="preserve"> de Arões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339</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391</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348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403</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442</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461</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S. Clemente (Silvares)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278</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325</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363</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379</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382</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408</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S. Gens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1315</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1474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1469</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1437</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1564</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1545</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 xml:space="preserve">S. Martinho </w:t>
            </w:r>
            <w:proofErr w:type="gramStart"/>
            <w:r w:rsidRPr="00BF2326">
              <w:rPr>
                <w:rFonts w:ascii="Verdana" w:eastAsia="Times New Roman" w:hAnsi="Verdana" w:cs="Times New Roman"/>
                <w:color w:val="999999"/>
                <w:sz w:val="20"/>
                <w:szCs w:val="20"/>
                <w:lang w:eastAsia="pt-PT"/>
              </w:rPr>
              <w:t>( Silvares</w:t>
            </w:r>
            <w:proofErr w:type="gramEnd"/>
            <w:r w:rsidRPr="00BF2326">
              <w:rPr>
                <w:rFonts w:ascii="Verdana" w:eastAsia="Times New Roman" w:hAnsi="Verdana" w:cs="Times New Roman"/>
                <w:color w:val="999999"/>
                <w:sz w:val="20"/>
                <w:szCs w:val="20"/>
                <w:lang w:eastAsia="pt-PT"/>
              </w:rPr>
              <w:t>)</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447</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557</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630</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684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769</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747</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S. Romão de Arões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764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849</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871</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894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898</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882</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Seidões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351</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442</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402</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464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461</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426</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Serafão</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939</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946</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1014</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1102</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1169</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1090</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proofErr w:type="spellStart"/>
            <w:r w:rsidRPr="00BF2326">
              <w:rPr>
                <w:rFonts w:ascii="Verdana" w:eastAsia="Times New Roman" w:hAnsi="Verdana" w:cs="Times New Roman"/>
                <w:color w:val="999999"/>
                <w:sz w:val="20"/>
                <w:szCs w:val="20"/>
                <w:lang w:eastAsia="pt-PT"/>
              </w:rPr>
              <w:t>Travassós</w:t>
            </w:r>
            <w:proofErr w:type="spellEnd"/>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1011</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1066</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1219</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1268</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1330</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1343</w:t>
            </w:r>
          </w:p>
        </w:tc>
      </w:tr>
      <w:tr w:rsidR="00BF2326" w:rsidRPr="00BF2326" w:rsidTr="00BF2326">
        <w:trPr>
          <w:trHeight w:val="30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Várzea Cova</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683</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691</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700</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777</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833</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850</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Vila Cova</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444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499</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480</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486</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504</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542</w:t>
            </w:r>
          </w:p>
        </w:tc>
      </w:tr>
      <w:tr w:rsidR="00BF2326" w:rsidRPr="00BF2326" w:rsidTr="00BF2326">
        <w:trPr>
          <w:trHeight w:val="240"/>
        </w:trPr>
        <w:tc>
          <w:tcPr>
            <w:tcW w:w="2727" w:type="dxa"/>
            <w:tcBorders>
              <w:top w:val="nil"/>
              <w:left w:val="double" w:sz="6" w:space="0" w:color="auto"/>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Vinhós</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304</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316</w:t>
            </w:r>
          </w:p>
        </w:tc>
        <w:tc>
          <w:tcPr>
            <w:tcW w:w="1493"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353</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361</w:t>
            </w:r>
          </w:p>
        </w:tc>
        <w:tc>
          <w:tcPr>
            <w:tcW w:w="1508" w:type="dxa"/>
            <w:tcBorders>
              <w:top w:val="nil"/>
              <w:left w:val="nil"/>
              <w:bottom w:val="single" w:sz="8"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406</w:t>
            </w:r>
          </w:p>
        </w:tc>
        <w:tc>
          <w:tcPr>
            <w:tcW w:w="1508" w:type="dxa"/>
            <w:tcBorders>
              <w:top w:val="nil"/>
              <w:left w:val="nil"/>
              <w:bottom w:val="single" w:sz="8"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396</w:t>
            </w:r>
          </w:p>
        </w:tc>
      </w:tr>
      <w:tr w:rsidR="00BF2326" w:rsidRPr="00BF2326" w:rsidTr="00BF2326">
        <w:trPr>
          <w:trHeight w:val="270"/>
        </w:trPr>
        <w:tc>
          <w:tcPr>
            <w:tcW w:w="2727" w:type="dxa"/>
            <w:tcBorders>
              <w:top w:val="nil"/>
              <w:left w:val="double" w:sz="6" w:space="0" w:color="auto"/>
              <w:bottom w:val="double" w:sz="6"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b/>
                <w:bCs/>
                <w:smallCaps/>
                <w:color w:val="999999"/>
                <w:sz w:val="20"/>
                <w:szCs w:val="20"/>
                <w:lang w:eastAsia="pt-PT"/>
              </w:rPr>
              <w:t>Concelho</w:t>
            </w:r>
          </w:p>
        </w:tc>
        <w:tc>
          <w:tcPr>
            <w:tcW w:w="1493" w:type="dxa"/>
            <w:tcBorders>
              <w:top w:val="nil"/>
              <w:left w:val="nil"/>
              <w:bottom w:val="double" w:sz="6"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22676</w:t>
            </w:r>
          </w:p>
        </w:tc>
        <w:tc>
          <w:tcPr>
            <w:tcW w:w="1493" w:type="dxa"/>
            <w:tcBorders>
              <w:top w:val="nil"/>
              <w:left w:val="nil"/>
              <w:bottom w:val="double" w:sz="6"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24624</w:t>
            </w:r>
          </w:p>
        </w:tc>
        <w:tc>
          <w:tcPr>
            <w:tcW w:w="1493" w:type="dxa"/>
            <w:tcBorders>
              <w:top w:val="nil"/>
              <w:left w:val="nil"/>
              <w:bottom w:val="double" w:sz="6"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25736</w:t>
            </w:r>
          </w:p>
        </w:tc>
        <w:tc>
          <w:tcPr>
            <w:tcW w:w="1508" w:type="dxa"/>
            <w:tcBorders>
              <w:top w:val="nil"/>
              <w:left w:val="nil"/>
              <w:bottom w:val="double" w:sz="6"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27348</w:t>
            </w:r>
          </w:p>
        </w:tc>
        <w:tc>
          <w:tcPr>
            <w:tcW w:w="1508" w:type="dxa"/>
            <w:tcBorders>
              <w:top w:val="nil"/>
              <w:left w:val="nil"/>
              <w:bottom w:val="double" w:sz="6" w:space="0" w:color="auto"/>
              <w:right w:val="single" w:sz="8"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30102</w:t>
            </w:r>
          </w:p>
        </w:tc>
        <w:tc>
          <w:tcPr>
            <w:tcW w:w="1508" w:type="dxa"/>
            <w:tcBorders>
              <w:top w:val="nil"/>
              <w:left w:val="nil"/>
              <w:bottom w:val="double" w:sz="6" w:space="0" w:color="auto"/>
              <w:right w:val="double" w:sz="6" w:space="0" w:color="auto"/>
            </w:tcBorders>
            <w:tcMar>
              <w:top w:w="0" w:type="dxa"/>
              <w:left w:w="60" w:type="dxa"/>
              <w:bottom w:w="0" w:type="dxa"/>
              <w:right w:w="60" w:type="dxa"/>
            </w:tcMar>
            <w:hideMark/>
          </w:tcPr>
          <w:p w:rsidR="00BF2326" w:rsidRPr="00BF2326" w:rsidRDefault="00BF2326" w:rsidP="00BF2326">
            <w:pPr>
              <w:spacing w:after="0" w:line="240" w:lineRule="auto"/>
              <w:ind w:hanging="8"/>
              <w:jc w:val="both"/>
              <w:rPr>
                <w:rFonts w:ascii="Times New Roman" w:eastAsia="Times New Roman" w:hAnsi="Times New Roman" w:cs="Times New Roman"/>
                <w:sz w:val="24"/>
                <w:szCs w:val="24"/>
                <w:lang w:eastAsia="pt-PT"/>
              </w:rPr>
            </w:pPr>
            <w:r w:rsidRPr="00BF2326">
              <w:rPr>
                <w:rFonts w:ascii="Verdana" w:eastAsia="Times New Roman" w:hAnsi="Verdana" w:cs="Times New Roman"/>
                <w:color w:val="999999"/>
                <w:sz w:val="20"/>
                <w:szCs w:val="20"/>
                <w:lang w:eastAsia="pt-PT"/>
              </w:rPr>
              <w:t>30031</w:t>
            </w:r>
          </w:p>
        </w:tc>
      </w:tr>
    </w:tbl>
    <w:p w:rsidR="00BF2326" w:rsidRDefault="00BF2326" w:rsidP="00BF2326">
      <w:pPr>
        <w:ind w:right="-285"/>
        <w:jc w:val="both"/>
      </w:pPr>
    </w:p>
    <w:sectPr w:rsidR="00BF23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326"/>
    <w:rsid w:val="00362B54"/>
    <w:rsid w:val="00BF23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link w:val="Cabealho2Carcter"/>
    <w:uiPriority w:val="9"/>
    <w:qFormat/>
    <w:rsid w:val="00BF2326"/>
    <w:pPr>
      <w:keepNext/>
      <w:spacing w:before="240" w:after="60" w:line="360" w:lineRule="auto"/>
      <w:ind w:left="567" w:hanging="567"/>
      <w:outlineLvl w:val="1"/>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basedOn w:val="Tipodeletrapredefinidodopargrafo"/>
    <w:link w:val="Cabealho2"/>
    <w:uiPriority w:val="9"/>
    <w:rsid w:val="00BF2326"/>
    <w:rPr>
      <w:rFonts w:ascii="Times New Roman" w:eastAsia="Times New Roman" w:hAnsi="Times New Roman" w:cs="Times New Roman"/>
      <w:b/>
      <w:bCs/>
      <w:sz w:val="24"/>
      <w:szCs w:val="24"/>
      <w:lang w:eastAsia="pt-PT"/>
    </w:rPr>
  </w:style>
  <w:style w:type="character" w:styleId="Refdenotaderodap">
    <w:name w:val="footnote reference"/>
    <w:basedOn w:val="Tipodeletrapredefinidodopargrafo"/>
    <w:uiPriority w:val="99"/>
    <w:semiHidden/>
    <w:unhideWhenUsed/>
    <w:rsid w:val="00BF2326"/>
    <w:rPr>
      <w:vertAlign w:val="superscript"/>
    </w:rPr>
  </w:style>
  <w:style w:type="character" w:styleId="Hiperligao">
    <w:name w:val="Hyperlink"/>
    <w:basedOn w:val="Tipodeletrapredefinidodopargrafo"/>
    <w:uiPriority w:val="99"/>
    <w:semiHidden/>
    <w:unhideWhenUsed/>
    <w:rsid w:val="00BF2326"/>
    <w:rPr>
      <w:color w:val="0000FF"/>
      <w:u w:val="single"/>
    </w:rPr>
  </w:style>
  <w:style w:type="paragraph" w:styleId="Legenda">
    <w:name w:val="caption"/>
    <w:basedOn w:val="Normal"/>
    <w:uiPriority w:val="35"/>
    <w:qFormat/>
    <w:rsid w:val="00BF232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link w:val="Cabealho2Carcter"/>
    <w:uiPriority w:val="9"/>
    <w:qFormat/>
    <w:rsid w:val="00BF2326"/>
    <w:pPr>
      <w:keepNext/>
      <w:spacing w:before="240" w:after="60" w:line="360" w:lineRule="auto"/>
      <w:ind w:left="567" w:hanging="567"/>
      <w:outlineLvl w:val="1"/>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basedOn w:val="Tipodeletrapredefinidodopargrafo"/>
    <w:link w:val="Cabealho2"/>
    <w:uiPriority w:val="9"/>
    <w:rsid w:val="00BF2326"/>
    <w:rPr>
      <w:rFonts w:ascii="Times New Roman" w:eastAsia="Times New Roman" w:hAnsi="Times New Roman" w:cs="Times New Roman"/>
      <w:b/>
      <w:bCs/>
      <w:sz w:val="24"/>
      <w:szCs w:val="24"/>
      <w:lang w:eastAsia="pt-PT"/>
    </w:rPr>
  </w:style>
  <w:style w:type="character" w:styleId="Refdenotaderodap">
    <w:name w:val="footnote reference"/>
    <w:basedOn w:val="Tipodeletrapredefinidodopargrafo"/>
    <w:uiPriority w:val="99"/>
    <w:semiHidden/>
    <w:unhideWhenUsed/>
    <w:rsid w:val="00BF2326"/>
    <w:rPr>
      <w:vertAlign w:val="superscript"/>
    </w:rPr>
  </w:style>
  <w:style w:type="character" w:styleId="Hiperligao">
    <w:name w:val="Hyperlink"/>
    <w:basedOn w:val="Tipodeletrapredefinidodopargrafo"/>
    <w:uiPriority w:val="99"/>
    <w:semiHidden/>
    <w:unhideWhenUsed/>
    <w:rsid w:val="00BF2326"/>
    <w:rPr>
      <w:color w:val="0000FF"/>
      <w:u w:val="single"/>
    </w:rPr>
  </w:style>
  <w:style w:type="paragraph" w:styleId="Legenda">
    <w:name w:val="caption"/>
    <w:basedOn w:val="Normal"/>
    <w:uiPriority w:val="35"/>
    <w:qFormat/>
    <w:rsid w:val="00BF232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03015">
      <w:bodyDiv w:val="1"/>
      <w:marLeft w:val="0"/>
      <w:marRight w:val="0"/>
      <w:marTop w:val="0"/>
      <w:marBottom w:val="0"/>
      <w:divBdr>
        <w:top w:val="none" w:sz="0" w:space="0" w:color="auto"/>
        <w:left w:val="none" w:sz="0" w:space="0" w:color="auto"/>
        <w:bottom w:val="none" w:sz="0" w:space="0" w:color="auto"/>
        <w:right w:val="none" w:sz="0" w:space="0" w:color="auto"/>
      </w:divBdr>
      <w:divsChild>
        <w:div w:id="884684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useu-emigrantes.org/Territorios_Administra&#231;&#227;o.htm" TargetMode="External"/><Relationship Id="rId5" Type="http://schemas.openxmlformats.org/officeDocument/2006/relationships/hyperlink" Target="http://www.museu-emigrantes.org/Territorios_Administra&#231;&#227;o.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735</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2012-01-30T18:04:00Z</dcterms:created>
  <dcterms:modified xsi:type="dcterms:W3CDTF">2012-01-30T18:08:00Z</dcterms:modified>
</cp:coreProperties>
</file>