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C5D" w:rsidRPr="00351C5D" w:rsidRDefault="00351C5D" w:rsidP="00351C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Viner Hand ITC" w:eastAsia="Times New Roman" w:hAnsi="Viner Hand ITC" w:cs="Times New Roman"/>
          <w:b/>
          <w:bCs/>
          <w:color w:val="999999"/>
          <w:sz w:val="36"/>
          <w:szCs w:val="36"/>
          <w:lang w:eastAsia="pt-PT"/>
        </w:rPr>
        <w:t xml:space="preserve">A </w:t>
      </w:r>
      <w:proofErr w:type="gramStart"/>
      <w:r w:rsidRPr="00351C5D">
        <w:rPr>
          <w:rFonts w:ascii="Viner Hand ITC" w:eastAsia="Times New Roman" w:hAnsi="Viner Hand ITC" w:cs="Times New Roman"/>
          <w:b/>
          <w:bCs/>
          <w:color w:val="999999"/>
          <w:sz w:val="36"/>
          <w:szCs w:val="36"/>
          <w:lang w:eastAsia="pt-PT"/>
        </w:rPr>
        <w:t>PRÉ HISTÓRIA</w:t>
      </w:r>
      <w:proofErr w:type="gramEnd"/>
      <w:r w:rsidRPr="00351C5D">
        <w:rPr>
          <w:rFonts w:ascii="Viner Hand ITC" w:eastAsia="Times New Roman" w:hAnsi="Viner Hand ITC" w:cs="Times New Roman"/>
          <w:b/>
          <w:bCs/>
          <w:color w:val="999999"/>
          <w:sz w:val="36"/>
          <w:szCs w:val="36"/>
          <w:lang w:eastAsia="pt-PT"/>
        </w:rPr>
        <w:t xml:space="preserve"> </w:t>
      </w:r>
    </w:p>
    <w:p w:rsidR="00351C5D" w:rsidRPr="00351C5D" w:rsidRDefault="00351C5D" w:rsidP="00351C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Viner Hand ITC" w:eastAsia="Times New Roman" w:hAnsi="Viner Hand ITC" w:cs="Times New Roman"/>
          <w:b/>
          <w:bCs/>
          <w:color w:val="999999"/>
          <w:sz w:val="27"/>
          <w:szCs w:val="27"/>
          <w:lang w:eastAsia="pt-PT"/>
        </w:rPr>
        <w:t>O Neolítico no Planalto e nas Encostas</w: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351C5D" w:rsidRPr="00351C5D" w:rsidRDefault="00351C5D" w:rsidP="00351C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351C5D" w:rsidRPr="00351C5D" w:rsidRDefault="00351C5D" w:rsidP="00351C5D">
      <w:pPr>
        <w:keepNext/>
        <w:spacing w:after="0" w:line="360" w:lineRule="auto"/>
        <w:ind w:left="300" w:right="300" w:hanging="567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bookmarkStart w:id="0" w:name="_Toc391876464"/>
      <w:r w:rsidRPr="00351C5D">
        <w:rPr>
          <w:rFonts w:ascii="Verdana" w:eastAsia="Times New Roman" w:hAnsi="Verdana" w:cs="Times New Roman"/>
          <w:b/>
          <w:bCs/>
          <w:caps/>
          <w:color w:val="999999"/>
          <w:sz w:val="20"/>
          <w:szCs w:val="20"/>
          <w:lang w:val="pt-BR" w:eastAsia="pt-PT"/>
        </w:rPr>
        <w:t> Matriz de memória ou aproximações à identidade local</w:t>
      </w:r>
      <w:bookmarkEnd w:id="0"/>
    </w:p>
    <w:p w:rsidR="00351C5D" w:rsidRDefault="00351C5D" w:rsidP="00351C5D">
      <w:pPr>
        <w:pStyle w:val="Cabealho2"/>
        <w:spacing w:before="0" w:after="0" w:line="240" w:lineRule="auto"/>
        <w:ind w:left="300"/>
        <w:jc w:val="right"/>
      </w:pPr>
      <w:r>
        <w:rPr>
          <w:rFonts w:ascii="Verdana" w:hAnsi="Verdana"/>
          <w:b w:val="0"/>
          <w:bCs w:val="0"/>
          <w:color w:val="999999"/>
          <w:sz w:val="16"/>
          <w:szCs w:val="16"/>
        </w:rPr>
        <w:t xml:space="preserve">Miguel Monteiro (1996), </w:t>
      </w:r>
    </w:p>
    <w:p w:rsidR="00351C5D" w:rsidRDefault="00351C5D" w:rsidP="00351C5D">
      <w:pPr>
        <w:pStyle w:val="Cabealho2"/>
        <w:spacing w:before="0" w:after="0" w:line="240" w:lineRule="auto"/>
        <w:ind w:left="300"/>
        <w:jc w:val="right"/>
      </w:pPr>
      <w:r>
        <w:rPr>
          <w:rFonts w:ascii="Verdana" w:hAnsi="Verdana"/>
          <w:b w:val="0"/>
          <w:bCs w:val="0"/>
          <w:color w:val="999999"/>
          <w:sz w:val="16"/>
          <w:szCs w:val="16"/>
        </w:rPr>
        <w:t>Migrantes, Emigrantes e Brasileiros,</w:t>
      </w:r>
    </w:p>
    <w:p w:rsidR="00351C5D" w:rsidRDefault="00351C5D" w:rsidP="00351C5D">
      <w:pPr>
        <w:pStyle w:val="Cabealho2"/>
        <w:spacing w:before="0" w:after="0" w:line="240" w:lineRule="auto"/>
        <w:ind w:left="300"/>
        <w:jc w:val="right"/>
      </w:pPr>
      <w:r>
        <w:rPr>
          <w:rFonts w:ascii="Verdana" w:hAnsi="Verdana"/>
          <w:b w:val="0"/>
          <w:bCs w:val="0"/>
          <w:color w:val="999999"/>
          <w:sz w:val="16"/>
          <w:szCs w:val="16"/>
        </w:rPr>
        <w:t>Territórios, itinerários e trajectórias,</w:t>
      </w:r>
    </w:p>
    <w:p w:rsidR="00351C5D" w:rsidRDefault="00351C5D" w:rsidP="00351C5D">
      <w:pPr>
        <w:pStyle w:val="Cabealho2"/>
        <w:spacing w:before="0" w:after="0" w:line="240" w:lineRule="auto"/>
        <w:ind w:left="300"/>
        <w:jc w:val="right"/>
      </w:pPr>
      <w:r>
        <w:rPr>
          <w:rFonts w:ascii="Verdana" w:hAnsi="Verdana"/>
          <w:b w:val="0"/>
          <w:bCs w:val="0"/>
          <w:color w:val="999999"/>
          <w:sz w:val="16"/>
          <w:szCs w:val="16"/>
        </w:rPr>
        <w:t>Braga, Universidade do Minho</w:t>
      </w:r>
    </w:p>
    <w:p w:rsidR="00351C5D" w:rsidRDefault="00351C5D" w:rsidP="00351C5D">
      <w:pPr>
        <w:pStyle w:val="NormalWeb"/>
        <w:spacing w:line="360" w:lineRule="auto"/>
        <w:ind w:left="300" w:right="600"/>
        <w:jc w:val="both"/>
      </w:pPr>
      <w:r>
        <w:rPr>
          <w:rFonts w:ascii="Verdana" w:hAnsi="Verdana"/>
          <w:color w:val="999999"/>
          <w:sz w:val="20"/>
          <w:szCs w:val="20"/>
          <w:lang w:val="pt-BR"/>
        </w:rPr>
        <w:t>Pode dizer-se, com alguma segurança, que o concelho se insere num contexto geográfico onde se identificaram «vestígios arqueológicos que testemunham uma intensa e antiga ocupação humana. Com uma morfologia contrastante em que alternam relevos proeminentes, extensas chãs, com vales alargados, o território actualmente abrangido pelo concelho de Fafe ofereceu boas condições, quer para a implantação de núcleos pré-históricos, quer para a fixação de comunidades proto-históricas, conhecendo-se igualmente alguns núcleos de povoamento romano.»</w:t>
      </w:r>
      <w:bookmarkStart w:id="1" w:name="_ftnref6"/>
      <w:r>
        <w:fldChar w:fldCharType="begin"/>
      </w:r>
      <w:r>
        <w:instrText xml:space="preserve"> HYPERLINK "http://www.museu-emigrantes.org/representacoes_para_um_passado1.htm" \l "_ftn1" \o "" </w:instrText>
      </w:r>
      <w:r>
        <w:fldChar w:fldCharType="separate"/>
      </w:r>
      <w:r>
        <w:rPr>
          <w:rStyle w:val="Refdenotaderodap"/>
          <w:rFonts w:ascii="Verdana" w:hAnsi="Verdana"/>
          <w:color w:val="999999"/>
          <w:sz w:val="20"/>
          <w:szCs w:val="20"/>
          <w:u w:val="single"/>
          <w:lang w:val="pt-BR"/>
        </w:rPr>
        <w:t>[1]</w:t>
      </w:r>
      <w:r>
        <w:fldChar w:fldCharType="end"/>
      </w:r>
      <w:bookmarkEnd w:id="1"/>
    </w:p>
    <w:p w:rsidR="00351C5D" w:rsidRPr="00351C5D" w:rsidRDefault="00351C5D" w:rsidP="00351C5D">
      <w:pPr>
        <w:spacing w:after="0" w:line="360" w:lineRule="auto"/>
        <w:ind w:left="6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Verdana" w:eastAsia="Times New Roman" w:hAnsi="Verdana" w:cs="Times New Roman"/>
          <w:color w:val="999999"/>
          <w:sz w:val="20"/>
          <w:szCs w:val="20"/>
          <w:lang w:val="pt-BR" w:eastAsia="pt-PT"/>
        </w:rPr>
        <w:t>Através das construções tumulares manifestaram o seu principal sentido de existência, como quem delimita territórios sagrados, surgindo na paisagem como ventres colectivos onde repousam sobrevivências difíceis e destinos entregues a deuses.</w:t>
      </w:r>
    </w:p>
    <w:p w:rsidR="00351C5D" w:rsidRPr="00351C5D" w:rsidRDefault="00351C5D" w:rsidP="00351C5D">
      <w:pPr>
        <w:spacing w:after="0" w:line="360" w:lineRule="auto"/>
        <w:ind w:left="6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Verdana" w:eastAsia="Times New Roman" w:hAnsi="Verdana" w:cs="Times New Roman"/>
          <w:color w:val="999999"/>
          <w:sz w:val="20"/>
          <w:szCs w:val="20"/>
          <w:lang w:val="pt-BR" w:eastAsia="pt-PT"/>
        </w:rPr>
        <w:t>É nos monumentos funerários onde podemos encontrar os principais referentes imateriais de uma existência filosófica: «é evidente que o facto de se enterrar um corpo constitui por si só uma forte suspeita a favor da existência de ideias sobre uma vida para além da morte aparente».</w:t>
      </w:r>
      <w:bookmarkStart w:id="2" w:name="_ftnref7"/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"http://www.museu-emigrantes.org/representacoes_para_um_passado1.htm" \l "_ftn2" \o "" </w:instrTex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351C5D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val="pt-BR" w:eastAsia="pt-PT"/>
        </w:rPr>
        <w:t>[2]</w: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2"/>
      <w:r w:rsidRPr="00351C5D">
        <w:rPr>
          <w:rFonts w:ascii="Verdana" w:eastAsia="Times New Roman" w:hAnsi="Verdana" w:cs="Times New Roman"/>
          <w:color w:val="999999"/>
          <w:sz w:val="20"/>
          <w:szCs w:val="20"/>
          <w:lang w:val="pt-BR" w:eastAsia="pt-PT"/>
        </w:rPr>
        <w:t xml:space="preserve"> </w:t>
      </w:r>
    </w:p>
    <w:p w:rsidR="00351C5D" w:rsidRPr="00351C5D" w:rsidRDefault="00351C5D" w:rsidP="00351C5D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Por isso, esta atitude de pensar a existência através da construção de sepulturas</w:t>
      </w:r>
      <w:proofErr w:type="gramStart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</w:t>
      </w:r>
      <w:proofErr w:type="gramEnd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pressupõe a construção de um pensamento teórico estruturante das atitudes colectivas perante a própria vida, concluindo-se que estas </w:t>
      </w:r>
      <w:hyperlink r:id="rId5" w:history="1">
        <w:r w:rsidRPr="00351C5D">
          <w:rPr>
            <w:rFonts w:ascii="Verdana" w:eastAsia="Times New Roman" w:hAnsi="Verdana" w:cs="Times New Roman"/>
            <w:b/>
            <w:bCs/>
            <w:color w:val="999999"/>
            <w:sz w:val="20"/>
            <w:szCs w:val="20"/>
            <w:u w:val="single"/>
            <w:lang w:eastAsia="pt-PT"/>
          </w:rPr>
          <w:t>comunidades megalíticas</w:t>
        </w:r>
      </w:hyperlink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eram, assim, senhoras de uma organização inteligente do todo social, cultural e territorial.</w:t>
      </w:r>
    </w:p>
    <w:p w:rsidR="00351C5D" w:rsidRPr="00351C5D" w:rsidRDefault="00351C5D" w:rsidP="00351C5D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Verdana" w:eastAsia="Times New Roman" w:hAnsi="Verdana" w:cs="Times New Roman"/>
          <w:color w:val="999999"/>
          <w:sz w:val="20"/>
          <w:szCs w:val="20"/>
          <w:lang w:val="pt-BR" w:eastAsia="pt-PT"/>
        </w:rPr>
        <w:t>Manuela Martins enumera e apresenta cartografados alguns destes monumentos pré-históricos, de tal modo que podemos imaginar os primeiros habitantes de Monte Longo, percorrendo a parte montanhosa de Monte Longo, prolongando uma ocupação permanente até aos nossos dias e que se distribuem pelos seguintes freguesias: Fornelos, Medelo, Moreira, São Gens, Travassós, Passos, Freitas, Pedraído, Várzea Cova.</w:t>
      </w:r>
      <w:bookmarkStart w:id="3" w:name="_ftnref8"/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"http://www.museu-emigrantes.org/representacoes_para_um_passado1.htm" \l "_ftn3" \o "" </w:instrTex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351C5D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val="pt-BR" w:eastAsia="pt-PT"/>
        </w:rPr>
        <w:t>[3]</w: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3"/>
    </w:p>
    <w:p w:rsidR="00351C5D" w:rsidRPr="00351C5D" w:rsidRDefault="00351C5D" w:rsidP="00351C5D">
      <w:pPr>
        <w:spacing w:after="0" w:line="360" w:lineRule="auto"/>
        <w:ind w:left="6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 xml:space="preserve">O aparecimento de um </w:t>
      </w:r>
      <w:hyperlink r:id="rId6" w:history="1">
        <w:r w:rsidRPr="00351C5D">
          <w:rPr>
            <w:rFonts w:ascii="Verdana" w:eastAsia="Times New Roman" w:hAnsi="Verdana" w:cs="Times New Roman"/>
            <w:b/>
            <w:bCs/>
            <w:color w:val="999999"/>
            <w:sz w:val="20"/>
            <w:szCs w:val="20"/>
            <w:u w:val="single"/>
            <w:lang w:eastAsia="pt-PT"/>
          </w:rPr>
          <w:t>Vaso Campaniforme</w:t>
        </w:r>
      </w:hyperlink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no sítio da Cruz do Vargo, freguesia de Gontim, vem completar as informações sobre um povo, que há quatro mil anos, presenciou os alvores da civilização Atlântica. </w:t>
      </w:r>
    </w:p>
    <w:p w:rsidR="00351C5D" w:rsidRPr="00351C5D" w:rsidRDefault="00351C5D" w:rsidP="00351C5D">
      <w:pPr>
        <w:spacing w:after="0" w:line="360" w:lineRule="auto"/>
        <w:ind w:left="6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Verdana" w:eastAsia="Times New Roman" w:hAnsi="Verdana" w:cs="Times New Roman"/>
          <w:color w:val="999999"/>
          <w:sz w:val="20"/>
          <w:szCs w:val="20"/>
          <w:lang w:val="pt-BR" w:eastAsia="pt-PT"/>
        </w:rPr>
        <w:t>«Abertura de vias de comunicação, no estabelecimento de relações comerciais e na difusão das técnicas da metalurgia, constituído por bandos de mercadores armados, que se entregavam ao comércio do cobre, do ouro, do âmbar, da calíte e de substâncias raras semelhantes que se encontram com frequência nas suas sepulturas. Os bandos incluiriam metalurgistas [...]. Vaguearam desde as costas marroquinas e da Sicília até ao litoral do mar do Norte, e desde Portugal e da Bretanha até ao Tisza e ao Vístula.[...».</w:t>
      </w:r>
      <w:bookmarkStart w:id="4" w:name="_ftnref9"/>
      <w:r w:rsidRPr="00351C5D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fldChar w:fldCharType="begin"/>
      </w:r>
      <w:r w:rsidRPr="00351C5D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instrText xml:space="preserve"> HYPERLINK "http://www.museu-emigrantes.org/representacoes_para_um_passado1.htm" \l "_ftn4" \o "" </w:instrText>
      </w:r>
      <w:r w:rsidRPr="00351C5D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fldChar w:fldCharType="separate"/>
      </w:r>
      <w:r w:rsidRPr="00351C5D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val="pt-BR" w:eastAsia="pt-PT"/>
        </w:rPr>
        <w:t>[4]</w:t>
      </w:r>
      <w:r w:rsidRPr="00351C5D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fldChar w:fldCharType="end"/>
      </w:r>
      <w:bookmarkEnd w:id="4"/>
    </w:p>
    <w:p w:rsidR="00351C5D" w:rsidRPr="00351C5D" w:rsidRDefault="00351C5D" w:rsidP="00351C5D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Verdana" w:eastAsia="Times New Roman" w:hAnsi="Verdana" w:cs="Times New Roman"/>
          <w:color w:val="999999"/>
          <w:sz w:val="20"/>
          <w:szCs w:val="20"/>
          <w:lang w:val="pt-BR" w:eastAsia="pt-PT"/>
        </w:rPr>
        <w:t>O fabrico de objectos com aplicações decorativas, demonstram o domínio das técnicas de produção e execução de joalharia, como no caso das braceletes de ouro encontradas na freguesia de Arnozela, na vertente Norte da Serra de Penouta, datadas de c. 1700 a.C,  com 533 gramas e formado por um molho de 20 argolas  de ouro.</w:t>
      </w:r>
      <w:bookmarkStart w:id="5" w:name="_ftnref5"/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"http://www.museu-emigrantes.org/representacoes_para_um_passado1.htm" \l "_ftn5" \o "" </w:instrTex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351C5D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val="pt-BR" w:eastAsia="pt-PT"/>
        </w:rPr>
        <w:t>[5]</w: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5"/>
    </w:p>
    <w:p w:rsidR="00351C5D" w:rsidRPr="00351C5D" w:rsidRDefault="00351C5D" w:rsidP="00351C5D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Verdana" w:eastAsia="Times New Roman" w:hAnsi="Verdana" w:cs="Times New Roman"/>
          <w:color w:val="999999"/>
          <w:sz w:val="20"/>
          <w:szCs w:val="20"/>
          <w:lang w:val="pt-BR" w:eastAsia="pt-PT"/>
        </w:rPr>
        <w:t>Estamos perante a evidência de movimentos de populações e de contactos dos habitantes locais com outros povos, que se faziam acompanhar dos seus elementos de cultura e civilização, transferindo-os, num processo de permuta de objectos e saberes, que estes elementos simbolizam e demonstram a existência de mobilidade geográfica dos povos do Mediterrâneo e do Atlântico, bem como a permeabilidade geográfico/cultural da região.</w:t>
      </w:r>
    </w:p>
    <w:p w:rsidR="00351C5D" w:rsidRPr="00351C5D" w:rsidRDefault="00351C5D" w:rsidP="0035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140.3pt;height:.75pt" o:hrpct="330" o:hrstd="t" o:hr="t" fillcolor="#aca899" stroked="f"/>
        </w:pict>
      </w:r>
    </w:p>
    <w:bookmarkStart w:id="6" w:name="_ftn6"/>
    <w:p w:rsidR="00351C5D" w:rsidRPr="00351C5D" w:rsidRDefault="00351C5D" w:rsidP="00351C5D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"http://www.museu-emigrantes.org/representacoes_para_um_passado1.htm" \l "_ftnref1" \o "" </w:instrTex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351C5D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eastAsia="pt-PT"/>
        </w:rPr>
        <w:t>[1]</w: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6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 Martins, Manuela, O Povoado de Santo </w:t>
      </w:r>
      <w:proofErr w:type="spellStart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Ovídio</w:t>
      </w:r>
      <w:proofErr w:type="spellEnd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Braga, Universidade de Minho, 1991, p.10</w:t>
      </w:r>
    </w:p>
    <w:bookmarkStart w:id="7" w:name="_ftn7"/>
    <w:p w:rsidR="00351C5D" w:rsidRPr="00351C5D" w:rsidRDefault="00351C5D" w:rsidP="00351C5D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"http://www.museu-emigrantes.org/representacoes_para_um_passado1.htm" \l "_ftnref2" \o "" </w:instrTex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351C5D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eastAsia="pt-PT"/>
        </w:rPr>
        <w:t>[2]</w: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7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 </w:t>
      </w:r>
      <w:proofErr w:type="spellStart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Leroi-Gourhan</w:t>
      </w:r>
      <w:proofErr w:type="spellEnd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André, As Religiões da pré-história, Lisboa, Edições 70, 1990, p.60</w:t>
      </w:r>
    </w:p>
    <w:bookmarkStart w:id="8" w:name="_ftn8"/>
    <w:p w:rsidR="00351C5D" w:rsidRPr="00351C5D" w:rsidRDefault="00351C5D" w:rsidP="00351C5D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"http://www.museu-emigrantes.org/representacoes_para_um_passado1.htm" \l "_ftnref3" \o "" </w:instrTex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351C5D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eastAsia="pt-PT"/>
        </w:rPr>
        <w:t>[3]</w: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8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 Martins, Manuela, O Povoado de Santo </w:t>
      </w:r>
      <w:proofErr w:type="spellStart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Ovídio</w:t>
      </w:r>
      <w:proofErr w:type="spellEnd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Braga, Universidade do Minho, 1991, p. 10</w:t>
      </w:r>
    </w:p>
    <w:bookmarkStart w:id="9" w:name="_ftn9"/>
    <w:p w:rsidR="00351C5D" w:rsidRPr="00351C5D" w:rsidRDefault="00351C5D" w:rsidP="00351C5D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"http://www.museu-emigrantes.org/representacoes_para_um_passado1.htm" \l "_ftnref4" \o "" </w:instrTex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351C5D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eastAsia="pt-PT"/>
        </w:rPr>
        <w:t>[4]</w: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9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 </w:t>
      </w:r>
      <w:proofErr w:type="spellStart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Childe</w:t>
      </w:r>
      <w:proofErr w:type="spellEnd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V. </w:t>
      </w:r>
      <w:proofErr w:type="spellStart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Gorgon</w:t>
      </w:r>
      <w:proofErr w:type="spellEnd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A Aurora da Civilização Europeia, Cap.  </w:t>
      </w:r>
      <w:proofErr w:type="gramStart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XII ,</w:t>
      </w:r>
      <w:proofErr w:type="gramEnd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Lisboa, Portugália Editora, 1969, pp.371.382 </w:t>
      </w:r>
    </w:p>
    <w:bookmarkStart w:id="10" w:name="_ftn5"/>
    <w:p w:rsidR="00351C5D" w:rsidRPr="00351C5D" w:rsidRDefault="00351C5D" w:rsidP="00351C5D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"http://www.museu-emigrantes.org/representacoes_para_um_passado1.htm" \l "_ftnref5" \o "" </w:instrTex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351C5D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eastAsia="pt-PT"/>
        </w:rPr>
        <w:t>[5]</w:t>
      </w:r>
      <w:r w:rsidRPr="00351C5D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10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 Severo, Ricardo, As Braceletes d'Ouro de Arnozela, Portugália, Materiais para o estudo do povo português, separata do Tomo </w:t>
      </w:r>
      <w:proofErr w:type="gramStart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II ,</w:t>
      </w:r>
      <w:proofErr w:type="gramEnd"/>
      <w:r w:rsidRPr="00351C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Fasc. I, Porto, Imprensa Portuguesa, 1905</w:t>
      </w:r>
    </w:p>
    <w:p w:rsidR="00362B54" w:rsidRDefault="00362B54">
      <w:bookmarkStart w:id="11" w:name="_GoBack"/>
      <w:bookmarkEnd w:id="11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5D"/>
    <w:rsid w:val="00351C5D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351C5D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51C5D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35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51C5D"/>
    <w:rPr>
      <w:vertAlign w:val="superscript"/>
    </w:rPr>
  </w:style>
  <w:style w:type="character" w:styleId="Hiperligao">
    <w:name w:val="Hyperlink"/>
    <w:basedOn w:val="Tipodeletrapredefinidodopargrafo"/>
    <w:uiPriority w:val="99"/>
    <w:semiHidden/>
    <w:unhideWhenUsed/>
    <w:rsid w:val="00351C5D"/>
    <w:rPr>
      <w:color w:val="0000FF"/>
      <w:u w:val="single"/>
    </w:rPr>
  </w:style>
  <w:style w:type="paragraph" w:customStyle="1" w:styleId="estilo1">
    <w:name w:val="estilo1"/>
    <w:basedOn w:val="Normal"/>
    <w:rsid w:val="0035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35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351C5D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351C5D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51C5D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35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51C5D"/>
    <w:rPr>
      <w:vertAlign w:val="superscript"/>
    </w:rPr>
  </w:style>
  <w:style w:type="character" w:styleId="Hiperligao">
    <w:name w:val="Hyperlink"/>
    <w:basedOn w:val="Tipodeletrapredefinidodopargrafo"/>
    <w:uiPriority w:val="99"/>
    <w:semiHidden/>
    <w:unhideWhenUsed/>
    <w:rsid w:val="00351C5D"/>
    <w:rPr>
      <w:color w:val="0000FF"/>
      <w:u w:val="single"/>
    </w:rPr>
  </w:style>
  <w:style w:type="paragraph" w:customStyle="1" w:styleId="estilo1">
    <w:name w:val="estilo1"/>
    <w:basedOn w:val="Normal"/>
    <w:rsid w:val="0035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35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351C5D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Vaso_Campaniforme.htm" TargetMode="External"/><Relationship Id="rId5" Type="http://schemas.openxmlformats.org/officeDocument/2006/relationships/hyperlink" Target="http://www.museu-emigrantes.org/Megalitism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821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2012-01-30T17:44:00Z</dcterms:created>
  <dcterms:modified xsi:type="dcterms:W3CDTF">2012-01-30T17:45:00Z</dcterms:modified>
</cp:coreProperties>
</file>