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8"/>
      </w:tblGrid>
      <w:tr w:rsidR="00DE4705" w:rsidRPr="00DE4705" w:rsidTr="00DE47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705" w:rsidRPr="00DE4705" w:rsidRDefault="00DE4705" w:rsidP="00DE4705">
            <w:pPr>
              <w:keepNext/>
              <w:spacing w:before="240" w:after="6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PT"/>
              </w:rPr>
            </w:pPr>
            <w:bookmarkStart w:id="0" w:name="_Toc391876497"/>
            <w:r w:rsidRPr="00DE4705">
              <w:rPr>
                <w:rFonts w:ascii="Verdana" w:eastAsia="Times New Roman" w:hAnsi="Verdana" w:cs="Times New Roman"/>
                <w:b/>
                <w:bCs/>
                <w:caps/>
                <w:color w:val="999999"/>
                <w:sz w:val="24"/>
                <w:szCs w:val="24"/>
                <w:lang w:eastAsia="pt-PT"/>
              </w:rPr>
              <w:t>A sociedade</w:t>
            </w:r>
            <w:bookmarkEnd w:id="0"/>
          </w:p>
          <w:p w:rsidR="00DE4705" w:rsidRPr="00DE4705" w:rsidRDefault="00DE4705" w:rsidP="00DE4705">
            <w:pPr>
              <w:keepNext/>
              <w:spacing w:after="0" w:line="240" w:lineRule="auto"/>
              <w:ind w:left="300" w:hanging="567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16"/>
                <w:szCs w:val="16"/>
                <w:lang w:eastAsia="pt-PT"/>
              </w:rPr>
              <w:t xml:space="preserve">Miguel Monteiro (1996), </w:t>
            </w:r>
          </w:p>
          <w:p w:rsidR="00DE4705" w:rsidRPr="00DE4705" w:rsidRDefault="00DE4705" w:rsidP="00DE4705">
            <w:pPr>
              <w:keepNext/>
              <w:spacing w:after="0" w:line="240" w:lineRule="auto"/>
              <w:ind w:left="300" w:hanging="567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16"/>
                <w:szCs w:val="16"/>
                <w:lang w:eastAsia="pt-PT"/>
              </w:rPr>
              <w:t>Migrantes, Emigrantes e Brasileiros,</w:t>
            </w:r>
          </w:p>
          <w:p w:rsidR="00DE4705" w:rsidRPr="00DE4705" w:rsidRDefault="00DE4705" w:rsidP="00DE4705">
            <w:pPr>
              <w:keepNext/>
              <w:spacing w:after="0" w:line="240" w:lineRule="auto"/>
              <w:ind w:left="300" w:hanging="567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16"/>
                <w:szCs w:val="16"/>
                <w:lang w:eastAsia="pt-PT"/>
              </w:rPr>
              <w:t>Territórios, itinerários e trajectórias,</w:t>
            </w:r>
          </w:p>
          <w:p w:rsidR="00DE4705" w:rsidRPr="00DE4705" w:rsidRDefault="00DE4705" w:rsidP="00DE4705">
            <w:pPr>
              <w:keepNext/>
              <w:spacing w:after="0" w:line="240" w:lineRule="auto"/>
              <w:ind w:left="300" w:hanging="567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16"/>
                <w:szCs w:val="16"/>
                <w:lang w:eastAsia="pt-PT"/>
              </w:rPr>
              <w:t>Braga, Universidade do Minho</w:t>
            </w:r>
          </w:p>
          <w:p w:rsidR="00DE4705" w:rsidRPr="00DE4705" w:rsidRDefault="00DE4705" w:rsidP="00DE470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E470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DE4705" w:rsidRPr="00DE4705" w:rsidRDefault="00DE4705" w:rsidP="00DE4705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Dos inícios da Baixa Idade Média sabemos que foi senhor de um antigo solar (provavelmente na Luz, a freguesia de Fornelos) D.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Fafes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(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Godins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), o Luz, (de Lanhoso) «bom rico homem e alferes do Conde D. Henrique, filho de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D.Godinho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Fafes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(de Lanhoso), </w:t>
            </w:r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"o que edificou Fonte de Arcada, e a coutou" e neto de D. </w:t>
            </w:r>
            <w:proofErr w:type="spellStart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Fafes</w:t>
            </w:r>
            <w:proofErr w:type="spellEnd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Serracins</w:t>
            </w:r>
            <w:proofErr w:type="spellEnd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, de Lanhoso "De onde vem os </w:t>
            </w:r>
            <w:proofErr w:type="spellStart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Godinhos</w:t>
            </w:r>
            <w:proofErr w:type="spellEnd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 que vem do nobilíssimo sangue dos Godos", conde e "bom rico homem", e morreu com grão peça de cavaleiros quando lidou El </w:t>
            </w:r>
            <w:proofErr w:type="spellStart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rey</w:t>
            </w:r>
            <w:proofErr w:type="spellEnd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 D. Garcia de Portugal com El </w:t>
            </w:r>
            <w:proofErr w:type="spellStart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rey</w:t>
            </w:r>
            <w:proofErr w:type="spellEnd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 D. Sancho (II) de </w:t>
            </w:r>
            <w:proofErr w:type="gramStart"/>
            <w:r w:rsidRPr="00DE4705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Castela».</w:t>
            </w:r>
            <w:bookmarkStart w:id="1" w:name="_ftnref44"/>
            <w:proofErr w:type="gram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vertAlign w:val="superscript"/>
                <w:lang w:eastAsia="pt-PT"/>
              </w:rPr>
              <w:t>[44]</w:t>
            </w:r>
            <w:bookmarkEnd w:id="1"/>
          </w:p>
          <w:p w:rsidR="00DE4705" w:rsidRPr="00DE4705" w:rsidRDefault="00DE4705" w:rsidP="00DE4705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 igreja Matriz de Fafe, localizada no Assento, parece ligar-se às origens medievais da freguesia de Fafe, dado que na descendência dos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Fafes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encontramos, no Livro Antigo de Linhagens, duas personagens ilustres: «D.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Ermígio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Fafes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(de Lanhoso), abade de Refojos de Basto; D. Egas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Fafes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(de Lanhoso), arcediago de Braga em 1245, bispo de Coimbra» (1247-1267) e arcebispo eleito de Santiago de Compostela (18/12/1267). </w:t>
            </w:r>
            <w:bookmarkStart w:id="2" w:name="_ftnref45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vertAlign w:val="superscript"/>
                <w:lang w:eastAsia="pt-PT"/>
              </w:rPr>
              <w:t>[45]</w:t>
            </w:r>
            <w:bookmarkEnd w:id="2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</w:t>
            </w:r>
          </w:p>
          <w:p w:rsidR="00DE4705" w:rsidRPr="00DE4705" w:rsidRDefault="00DE4705" w:rsidP="00DE4705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D. Egas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Fafes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morreu em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Montpellieu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 encontrando-se sepultado em túmulo com estátua jacente, na Capela de Santa Clara, da Sé Velha de Coimbra, que ele mandara construir.</w:t>
            </w:r>
          </w:p>
          <w:p w:rsidR="00DE4705" w:rsidRPr="00DE4705" w:rsidRDefault="00DE4705" w:rsidP="00DE4705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Não existem estudos sobre a estrutura social local do século XVIII, ou mesmo sobre as famílias ilustres e nobilitadas</w:t>
            </w:r>
          </w:p>
          <w:p w:rsidR="00DE4705" w:rsidRPr="00DE4705" w:rsidRDefault="00DE4705" w:rsidP="00DE4705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Sabemos que, em 1736, são referidas algumas: «dos Magalhães, Coelhos, Rebelos e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Araújos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 da existência de uma família de brasão cuja genealogia se encontra na agregação de vários ramos dos Sousas, Homens,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Sylvas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Teles e Menezes. (...) O doutor Pedro de Sousa, natural de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Estoraõs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insigne lente em medicina na Universidade de Coimbra e a existência, só na freguesia de Fafe de cinco religiosos, vinte e dois clérigos e cinco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bachareis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formados em direito. (...)</w:t>
            </w:r>
          </w:p>
          <w:p w:rsidR="00DE4705" w:rsidRPr="00DE4705" w:rsidRDefault="00DE4705" w:rsidP="00DE4705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 família mais ilustre com residência no concelho era a família dos Maias, antigo e imemorável apelido, cujo chefe era Manuel Gonçalves da Maia e Vasconcelos </w:t>
            </w:r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lastRenderedPageBreak/>
              <w:t xml:space="preserve">Coelho, cavaleiro professo da ordem de Cristo, capitão-mor das ordenanças do concelho de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Montelongo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 do Couto de Pedraído, (...) era 13º titular do morgadio da Abelheira em Santo Estevão de Geraz (...) administrador  dos rendimentos da capela de Nossa </w:t>
            </w:r>
            <w:proofErr w:type="spell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Senhorado</w:t>
            </w:r>
            <w:proofErr w:type="spell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Socorro, senhor de vários açudes, moinhos e pescarias junto da Foz Velha e Pouco Peixe e proprietário do ofício de escrivão da Câmara do Concelho."</w:t>
            </w:r>
            <w:bookmarkStart w:id="3" w:name="_ftnref46"/>
            <w:proofErr w:type="gramStart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vertAlign w:val="superscript"/>
                <w:lang w:eastAsia="pt-PT"/>
              </w:rPr>
              <w:t>[46</w:t>
            </w:r>
            <w:proofErr w:type="gramEnd"/>
            <w:r w:rsidRPr="00DE4705">
              <w:rPr>
                <w:rFonts w:ascii="Verdana" w:eastAsia="Times New Roman" w:hAnsi="Verdana" w:cs="Times New Roman"/>
                <w:color w:val="999999"/>
                <w:sz w:val="20"/>
                <w:szCs w:val="20"/>
                <w:vertAlign w:val="superscript"/>
                <w:lang w:eastAsia="pt-PT"/>
              </w:rPr>
              <w:t>]</w:t>
            </w:r>
            <w:bookmarkEnd w:id="3"/>
          </w:p>
          <w:p w:rsidR="00DE4705" w:rsidRPr="00DE4705" w:rsidRDefault="00DE4705" w:rsidP="00DE4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E470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bookmarkStart w:id="4" w:name="_GoBack"/>
        <w:bookmarkEnd w:id="4"/>
      </w:tr>
    </w:tbl>
    <w:p w:rsidR="00DE4705" w:rsidRPr="00DE4705" w:rsidRDefault="00DE4705" w:rsidP="00DE4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4705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DE4705" w:rsidRPr="00DE4705" w:rsidRDefault="00DE4705" w:rsidP="00DE47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47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E4705" w:rsidRPr="00DE4705" w:rsidRDefault="00DE4705" w:rsidP="00DE47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620000" cy="9525"/>
            <wp:effectExtent l="0" t="0" r="0" b="9525"/>
            <wp:docPr id="1" name="Imagem 1" descr="http://www.museu-emigrantes.org/imagens/li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linh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05" w:rsidRPr="00DE4705" w:rsidRDefault="00DE4705" w:rsidP="00DE47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47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E4705" w:rsidRPr="00DE4705" w:rsidRDefault="00DE4705" w:rsidP="00DE4705">
      <w:pPr>
        <w:spacing w:after="0" w:line="240" w:lineRule="auto"/>
        <w:ind w:left="1050" w:right="10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47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E4705" w:rsidRPr="00DE4705" w:rsidRDefault="00DE4705" w:rsidP="00DE4705">
      <w:pPr>
        <w:spacing w:after="0" w:line="36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5" w:name="_ftn44"/>
      <w:r w:rsidRPr="00DE4705">
        <w:rPr>
          <w:rFonts w:ascii="Verdana" w:eastAsia="Times New Roman" w:hAnsi="Verdana" w:cs="Times New Roman"/>
          <w:color w:val="999999"/>
          <w:sz w:val="15"/>
          <w:szCs w:val="15"/>
          <w:vertAlign w:val="superscript"/>
          <w:lang w:eastAsia="pt-PT"/>
        </w:rPr>
        <w:t>44]</w:t>
      </w:r>
      <w:bookmarkEnd w:id="5"/>
      <w:r w:rsidRPr="00DE4705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Norton, Manuel Artur, Livro Antigo de Linhagens - Achegas para a sua coordenação, Lisboa, Instituto Superior de Heráldica,  1974, pp. 45.48</w:t>
      </w:r>
    </w:p>
    <w:p w:rsidR="00DE4705" w:rsidRPr="00DE4705" w:rsidRDefault="00DE4705" w:rsidP="00DE4705">
      <w:pPr>
        <w:spacing w:after="0" w:line="36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6" w:name="_ftn45"/>
      <w:proofErr w:type="gramStart"/>
      <w:r w:rsidRPr="00DE4705">
        <w:rPr>
          <w:rFonts w:ascii="Verdana" w:eastAsia="Times New Roman" w:hAnsi="Verdana" w:cs="Times New Roman"/>
          <w:color w:val="999999"/>
          <w:sz w:val="15"/>
          <w:szCs w:val="15"/>
          <w:vertAlign w:val="superscript"/>
          <w:lang w:eastAsia="pt-PT"/>
        </w:rPr>
        <w:t>[45</w:t>
      </w:r>
      <w:proofErr w:type="gramEnd"/>
      <w:r w:rsidRPr="00DE4705">
        <w:rPr>
          <w:rFonts w:ascii="Verdana" w:eastAsia="Times New Roman" w:hAnsi="Verdana" w:cs="Times New Roman"/>
          <w:color w:val="999999"/>
          <w:sz w:val="15"/>
          <w:szCs w:val="15"/>
          <w:vertAlign w:val="superscript"/>
          <w:lang w:eastAsia="pt-PT"/>
        </w:rPr>
        <w:t>]</w:t>
      </w:r>
      <w:bookmarkEnd w:id="6"/>
      <w:r w:rsidRPr="00DE4705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Idem, ibidem</w:t>
      </w:r>
    </w:p>
    <w:p w:rsidR="00DE4705" w:rsidRPr="00DE4705" w:rsidRDefault="00DE4705" w:rsidP="00DE4705">
      <w:pPr>
        <w:spacing w:after="0" w:line="36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7" w:name="_ftn46"/>
      <w:proofErr w:type="gramStart"/>
      <w:r w:rsidRPr="00DE4705">
        <w:rPr>
          <w:rFonts w:ascii="Verdana" w:eastAsia="Times New Roman" w:hAnsi="Verdana" w:cs="Times New Roman"/>
          <w:color w:val="999999"/>
          <w:sz w:val="15"/>
          <w:szCs w:val="15"/>
          <w:vertAlign w:val="superscript"/>
          <w:lang w:eastAsia="pt-PT"/>
        </w:rPr>
        <w:t>[46</w:t>
      </w:r>
      <w:proofErr w:type="gramEnd"/>
      <w:r w:rsidRPr="00DE4705">
        <w:rPr>
          <w:rFonts w:ascii="Verdana" w:eastAsia="Times New Roman" w:hAnsi="Verdana" w:cs="Times New Roman"/>
          <w:color w:val="999999"/>
          <w:sz w:val="15"/>
          <w:szCs w:val="15"/>
          <w:vertAlign w:val="superscript"/>
          <w:lang w:eastAsia="pt-PT"/>
        </w:rPr>
        <w:t>]</w:t>
      </w:r>
      <w:bookmarkEnd w:id="7"/>
      <w:r w:rsidRPr="00DE4705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   Borralheiro, Rogério, Nas Origens do Concelho de Fafe. O Discurso Fundados do Pároco de Santa Eulália de Fafe em 1736, Actas das Primeiras Jornadas de História Local, Câmara Municipal de Fafe, Fafe, 1996, pp. 202 e203</w:t>
      </w:r>
    </w:p>
    <w:p w:rsidR="00DE4705" w:rsidRPr="00DE4705" w:rsidRDefault="00DE4705" w:rsidP="00DE470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47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705"/>
    <w:rsid w:val="00362B54"/>
    <w:rsid w:val="00D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DE4705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DE4705"/>
    <w:pPr>
      <w:keepNext/>
      <w:spacing w:before="240" w:after="60" w:line="360" w:lineRule="auto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E470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DE4705"/>
    <w:rPr>
      <w:rFonts w:ascii="Times New Roman" w:eastAsia="Times New Roman" w:hAnsi="Times New Roman" w:cs="Times New Roman"/>
      <w:b/>
      <w:bCs/>
      <w:i/>
      <w:i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E470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E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DE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DE4705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E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E4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DE4705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DE4705"/>
    <w:pPr>
      <w:keepNext/>
      <w:spacing w:before="240" w:after="60" w:line="360" w:lineRule="auto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E470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DE4705"/>
    <w:rPr>
      <w:rFonts w:ascii="Times New Roman" w:eastAsia="Times New Roman" w:hAnsi="Times New Roman" w:cs="Times New Roman"/>
      <w:b/>
      <w:bCs/>
      <w:i/>
      <w:i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E470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E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DE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DE4705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E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E4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2012-01-30T17:59:00Z</dcterms:created>
  <dcterms:modified xsi:type="dcterms:W3CDTF">2012-01-30T18:03:00Z</dcterms:modified>
</cp:coreProperties>
</file>