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4619" w14:textId="77777777" w:rsidR="006C57A2" w:rsidRDefault="006C57A2" w:rsidP="006C57A2">
      <w:pPr>
        <w:spacing w:after="282"/>
        <w:ind w:left="1328"/>
      </w:pPr>
      <w:r>
        <w:rPr>
          <w:noProof/>
          <w:lang w:val="es-ES" w:eastAsia="es-ES"/>
        </w:rPr>
        <w:drawing>
          <wp:inline distT="0" distB="0" distL="0" distR="0" wp14:anchorId="4EF814B1" wp14:editId="1E3EA7AA">
            <wp:extent cx="3915918" cy="2474595"/>
            <wp:effectExtent l="0" t="0" r="0" b="0"/>
            <wp:docPr id="283" name="Picture 283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 descr="Logo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918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1DED" w14:textId="77777777" w:rsidR="006C57A2" w:rsidRPr="006C57A2" w:rsidRDefault="006C57A2" w:rsidP="006C57A2">
      <w:pPr>
        <w:spacing w:after="158"/>
        <w:rPr>
          <w:lang w:val="es-419"/>
        </w:rPr>
      </w:pPr>
      <w:r w:rsidRPr="006C57A2">
        <w:rPr>
          <w:rFonts w:ascii="Calibri" w:eastAsia="Calibri" w:hAnsi="Calibri" w:cs="Calibri"/>
          <w:lang w:val="es-419"/>
        </w:rPr>
        <w:t xml:space="preserve"> </w:t>
      </w:r>
    </w:p>
    <w:p w14:paraId="5DC1D5DA" w14:textId="04F3D689" w:rsidR="006C57A2" w:rsidRPr="006C57A2" w:rsidRDefault="006C57A2" w:rsidP="006C57A2">
      <w:pPr>
        <w:spacing w:after="117"/>
        <w:ind w:right="1775"/>
        <w:jc w:val="center"/>
        <w:rPr>
          <w:szCs w:val="24"/>
          <w:lang w:val="es-419"/>
        </w:rPr>
      </w:pPr>
      <w:r>
        <w:rPr>
          <w:b/>
          <w:szCs w:val="24"/>
          <w:lang w:val="es-419"/>
        </w:rPr>
        <w:t>SIMULACIÓN</w:t>
      </w:r>
      <w:r w:rsidRPr="006C57A2">
        <w:rPr>
          <w:b/>
          <w:szCs w:val="24"/>
          <w:lang w:val="es-419"/>
        </w:rPr>
        <w:t xml:space="preserve"> DE SISTEMAS </w:t>
      </w:r>
    </w:p>
    <w:p w14:paraId="7035F458" w14:textId="77777777" w:rsidR="006C57A2" w:rsidRPr="006C57A2" w:rsidRDefault="006C57A2" w:rsidP="006C57A2">
      <w:pPr>
        <w:spacing w:after="158"/>
        <w:rPr>
          <w:b/>
          <w:szCs w:val="24"/>
          <w:lang w:val="es-419"/>
        </w:rPr>
      </w:pPr>
      <w:r w:rsidRPr="006C57A2">
        <w:rPr>
          <w:b/>
          <w:szCs w:val="24"/>
          <w:lang w:val="es-419"/>
        </w:rPr>
        <w:t xml:space="preserve"> </w:t>
      </w:r>
    </w:p>
    <w:p w14:paraId="60EBC03D" w14:textId="77777777" w:rsidR="006C57A2" w:rsidRPr="006C57A2" w:rsidRDefault="006C57A2" w:rsidP="006C57A2">
      <w:pPr>
        <w:ind w:left="-5"/>
        <w:rPr>
          <w:szCs w:val="24"/>
          <w:lang w:val="es-419"/>
        </w:rPr>
      </w:pPr>
      <w:r w:rsidRPr="006C57A2">
        <w:rPr>
          <w:b/>
          <w:szCs w:val="24"/>
          <w:lang w:val="es-419"/>
        </w:rPr>
        <w:t>Integrantes:</w:t>
      </w:r>
      <w:r w:rsidRPr="006C57A2">
        <w:rPr>
          <w:szCs w:val="24"/>
          <w:lang w:val="es-419"/>
        </w:rPr>
        <w:t xml:space="preserve"> Mikel Membreño Moreno</w:t>
      </w:r>
    </w:p>
    <w:p w14:paraId="1E4F7861" w14:textId="71E6EA25" w:rsidR="006C57A2" w:rsidRDefault="006C57A2" w:rsidP="006C57A2">
      <w:pPr>
        <w:ind w:firstLine="720"/>
        <w:rPr>
          <w:szCs w:val="24"/>
          <w:lang w:val="es-419"/>
        </w:rPr>
      </w:pPr>
      <w:r>
        <w:rPr>
          <w:szCs w:val="24"/>
          <w:lang w:val="es-419"/>
        </w:rPr>
        <w:t xml:space="preserve">            </w:t>
      </w:r>
      <w:r w:rsidRPr="006C57A2">
        <w:rPr>
          <w:szCs w:val="24"/>
          <w:lang w:val="es-419"/>
        </w:rPr>
        <w:t>José Yanil Calero</w:t>
      </w:r>
      <w:r>
        <w:rPr>
          <w:szCs w:val="24"/>
          <w:lang w:val="es-419"/>
        </w:rPr>
        <w:t xml:space="preserve"> Gonzales</w:t>
      </w:r>
    </w:p>
    <w:p w14:paraId="2C01D940" w14:textId="4DF74184" w:rsidR="006C57A2" w:rsidRPr="006C57A2" w:rsidRDefault="006C57A2" w:rsidP="006C57A2">
      <w:pPr>
        <w:ind w:firstLine="720"/>
        <w:rPr>
          <w:szCs w:val="24"/>
          <w:lang w:val="es-419"/>
        </w:rPr>
      </w:pPr>
      <w:r>
        <w:rPr>
          <w:szCs w:val="24"/>
          <w:lang w:val="es-419"/>
        </w:rPr>
        <w:t xml:space="preserve">            Miguel Ángel Méndez Lopez</w:t>
      </w:r>
    </w:p>
    <w:p w14:paraId="69C9D469" w14:textId="77777777" w:rsidR="006C57A2" w:rsidRPr="006C57A2" w:rsidRDefault="006C57A2" w:rsidP="006C57A2">
      <w:pPr>
        <w:spacing w:after="0"/>
        <w:ind w:left="1426"/>
        <w:rPr>
          <w:szCs w:val="24"/>
          <w:lang w:val="es-419"/>
        </w:rPr>
      </w:pPr>
    </w:p>
    <w:tbl>
      <w:tblPr>
        <w:tblStyle w:val="TableGrid0"/>
        <w:tblW w:w="3963" w:type="dxa"/>
        <w:tblInd w:w="0" w:type="dxa"/>
        <w:tblLook w:val="04A0" w:firstRow="1" w:lastRow="0" w:firstColumn="1" w:lastColumn="0" w:noHBand="0" w:noVBand="1"/>
      </w:tblPr>
      <w:tblGrid>
        <w:gridCol w:w="1253"/>
        <w:gridCol w:w="2710"/>
      </w:tblGrid>
      <w:tr w:rsidR="006C57A2" w:rsidRPr="006C57A2" w14:paraId="6EF11A70" w14:textId="77777777" w:rsidTr="00D176BD">
        <w:trPr>
          <w:trHeight w:val="362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14:paraId="7EE6C2AB" w14:textId="77777777" w:rsidR="006C57A2" w:rsidRPr="00AA6DDE" w:rsidRDefault="006C57A2" w:rsidP="00D176BD">
            <w:pPr>
              <w:spacing w:line="259" w:lineRule="auto"/>
              <w:rPr>
                <w:szCs w:val="24"/>
              </w:rPr>
            </w:pPr>
            <w:r w:rsidRPr="00AA6DDE">
              <w:rPr>
                <w:szCs w:val="24"/>
              </w:rPr>
              <w:t xml:space="preserve"> 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75C703FE" w14:textId="77777777" w:rsidR="006C57A2" w:rsidRPr="00AA6DDE" w:rsidRDefault="006C57A2" w:rsidP="00D176BD">
            <w:pPr>
              <w:spacing w:line="259" w:lineRule="auto"/>
              <w:rPr>
                <w:szCs w:val="24"/>
              </w:rPr>
            </w:pPr>
          </w:p>
        </w:tc>
      </w:tr>
      <w:tr w:rsidR="006C57A2" w:rsidRPr="00AA6DDE" w14:paraId="4697F730" w14:textId="77777777" w:rsidTr="00D176BD">
        <w:trPr>
          <w:trHeight w:val="914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14:paraId="32901B92" w14:textId="77777777" w:rsidR="006C57A2" w:rsidRPr="00AA6DDE" w:rsidRDefault="006C57A2" w:rsidP="00D176BD">
            <w:pPr>
              <w:spacing w:after="156" w:line="259" w:lineRule="auto"/>
              <w:rPr>
                <w:szCs w:val="24"/>
              </w:rPr>
            </w:pPr>
            <w:r w:rsidRPr="00AA6DDE">
              <w:rPr>
                <w:b/>
                <w:szCs w:val="24"/>
              </w:rPr>
              <w:t>Docente:</w:t>
            </w:r>
            <w:r w:rsidRPr="00AA6DDE">
              <w:rPr>
                <w:szCs w:val="24"/>
              </w:rPr>
              <w:t xml:space="preserve"> </w:t>
            </w:r>
          </w:p>
          <w:p w14:paraId="5D7E84A2" w14:textId="77777777" w:rsidR="006C57A2" w:rsidRPr="00AA6DDE" w:rsidRDefault="006C57A2" w:rsidP="00D176BD">
            <w:pPr>
              <w:spacing w:line="259" w:lineRule="auto"/>
              <w:rPr>
                <w:szCs w:val="24"/>
              </w:rPr>
            </w:pPr>
            <w:r w:rsidRPr="00AA6DDE">
              <w:rPr>
                <w:szCs w:val="24"/>
              </w:rPr>
              <w:t xml:space="preserve"> 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59B31776" w14:textId="7AB572D6" w:rsidR="006C57A2" w:rsidRPr="00AA6DDE" w:rsidRDefault="006C57A2" w:rsidP="00D176BD">
            <w:pPr>
              <w:spacing w:line="259" w:lineRule="auto"/>
              <w:ind w:left="163"/>
              <w:rPr>
                <w:szCs w:val="24"/>
              </w:rPr>
            </w:pPr>
            <w:r w:rsidRPr="006C57A2">
              <w:rPr>
                <w:szCs w:val="24"/>
              </w:rPr>
              <w:t>José A. Durán G.</w:t>
            </w:r>
          </w:p>
        </w:tc>
      </w:tr>
      <w:tr w:rsidR="006C57A2" w:rsidRPr="00AA6DDE" w14:paraId="636DC468" w14:textId="77777777" w:rsidTr="00D176BD">
        <w:trPr>
          <w:trHeight w:val="917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14:paraId="4EF2C6CD" w14:textId="77777777" w:rsidR="006C57A2" w:rsidRPr="00AA6DDE" w:rsidRDefault="006C57A2" w:rsidP="00D176BD">
            <w:pPr>
              <w:spacing w:after="158" w:line="259" w:lineRule="auto"/>
              <w:rPr>
                <w:szCs w:val="24"/>
              </w:rPr>
            </w:pPr>
            <w:r w:rsidRPr="00AA6DDE">
              <w:rPr>
                <w:b/>
                <w:szCs w:val="24"/>
              </w:rPr>
              <w:t xml:space="preserve">Grupo: </w:t>
            </w:r>
          </w:p>
          <w:p w14:paraId="52C1828F" w14:textId="77777777" w:rsidR="006C57A2" w:rsidRPr="00AA6DDE" w:rsidRDefault="006C57A2" w:rsidP="00D176BD">
            <w:pPr>
              <w:spacing w:line="259" w:lineRule="auto"/>
              <w:rPr>
                <w:szCs w:val="24"/>
              </w:rPr>
            </w:pPr>
            <w:r w:rsidRPr="00AA6DDE">
              <w:rPr>
                <w:szCs w:val="24"/>
              </w:rPr>
              <w:t xml:space="preserve"> 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64BA8ADA" w14:textId="77777777" w:rsidR="006C57A2" w:rsidRPr="00AA6DDE" w:rsidRDefault="006C57A2" w:rsidP="00D176BD">
            <w:pPr>
              <w:spacing w:line="259" w:lineRule="auto"/>
              <w:ind w:left="163"/>
              <w:rPr>
                <w:szCs w:val="24"/>
              </w:rPr>
            </w:pPr>
            <w:r>
              <w:rPr>
                <w:szCs w:val="24"/>
              </w:rPr>
              <w:t>Sabatino</w:t>
            </w:r>
          </w:p>
        </w:tc>
      </w:tr>
      <w:tr w:rsidR="006C57A2" w:rsidRPr="00AA6DDE" w14:paraId="17165643" w14:textId="77777777" w:rsidTr="00D176BD">
        <w:trPr>
          <w:trHeight w:val="362"/>
        </w:trPr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</w:tcPr>
          <w:p w14:paraId="0514A340" w14:textId="77777777" w:rsidR="006C57A2" w:rsidRPr="00AA6DDE" w:rsidRDefault="006C57A2" w:rsidP="00D176BD">
            <w:pPr>
              <w:spacing w:line="259" w:lineRule="auto"/>
              <w:rPr>
                <w:szCs w:val="24"/>
              </w:rPr>
            </w:pPr>
            <w:r w:rsidRPr="00AA6DDE">
              <w:rPr>
                <w:b/>
                <w:szCs w:val="24"/>
              </w:rPr>
              <w:t>Fecha:</w:t>
            </w:r>
            <w:r w:rsidRPr="00AA6DDE">
              <w:rPr>
                <w:szCs w:val="24"/>
              </w:rPr>
              <w:t xml:space="preserve"> </w:t>
            </w: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</w:tcBorders>
          </w:tcPr>
          <w:p w14:paraId="03C77D16" w14:textId="5316E780" w:rsidR="006C57A2" w:rsidRPr="00AA6DDE" w:rsidRDefault="006C57A2" w:rsidP="00D176BD">
            <w:pPr>
              <w:spacing w:line="259" w:lineRule="auto"/>
              <w:ind w:left="163"/>
              <w:rPr>
                <w:szCs w:val="24"/>
              </w:rPr>
            </w:pPr>
            <w:r>
              <w:rPr>
                <w:szCs w:val="24"/>
              </w:rPr>
              <w:t>10</w:t>
            </w:r>
            <w:r>
              <w:rPr>
                <w:szCs w:val="24"/>
              </w:rPr>
              <w:t xml:space="preserve"> de </w:t>
            </w:r>
            <w:proofErr w:type="gramStart"/>
            <w:r>
              <w:rPr>
                <w:szCs w:val="24"/>
              </w:rPr>
              <w:t>Febrero</w:t>
            </w:r>
            <w:proofErr w:type="gramEnd"/>
            <w:r>
              <w:rPr>
                <w:szCs w:val="24"/>
              </w:rPr>
              <w:t xml:space="preserve"> del</w:t>
            </w:r>
            <w:r w:rsidRPr="00AA6DDE">
              <w:rPr>
                <w:szCs w:val="24"/>
              </w:rPr>
              <w:t xml:space="preserve"> 202</w:t>
            </w:r>
            <w:r>
              <w:rPr>
                <w:szCs w:val="24"/>
              </w:rPr>
              <w:t xml:space="preserve">4. </w:t>
            </w:r>
          </w:p>
        </w:tc>
      </w:tr>
    </w:tbl>
    <w:p w14:paraId="411C1981" w14:textId="77777777" w:rsidR="006C57A2" w:rsidRDefault="006C57A2"/>
    <w:p w14:paraId="2210C92A" w14:textId="77777777" w:rsidR="006C57A2" w:rsidRDefault="006C57A2"/>
    <w:p w14:paraId="611BE983" w14:textId="77777777" w:rsidR="006C57A2" w:rsidRDefault="006C57A2"/>
    <w:p w14:paraId="7E453224" w14:textId="77777777" w:rsidR="006C57A2" w:rsidRDefault="006C57A2"/>
    <w:p w14:paraId="318FEB19" w14:textId="77777777" w:rsidR="006C57A2" w:rsidRDefault="006C57A2"/>
    <w:p w14:paraId="63E765B1" w14:textId="4597A75B" w:rsidR="006C57A2" w:rsidRPr="006C57A2" w:rsidRDefault="006C57A2" w:rsidP="006C57A2">
      <w:pPr>
        <w:jc w:val="center"/>
        <w:rPr>
          <w:b/>
          <w:bCs/>
          <w:lang w:val="es-419"/>
        </w:rPr>
      </w:pPr>
      <w:r w:rsidRPr="006C57A2">
        <w:rPr>
          <w:b/>
          <w:bCs/>
          <w:lang w:val="es-419"/>
        </w:rPr>
        <w:t>Análisis del Sistema de e</w:t>
      </w:r>
      <w:r>
        <w:rPr>
          <w:b/>
          <w:bCs/>
          <w:lang w:val="es-419"/>
        </w:rPr>
        <w:t>valuación por la satisfacción del servicio brindado por del agente de servicio al Cliente</w:t>
      </w:r>
    </w:p>
    <w:p w14:paraId="19097DCA" w14:textId="77777777" w:rsidR="006C57A2" w:rsidRPr="006C57A2" w:rsidRDefault="006C57A2">
      <w:pPr>
        <w:rPr>
          <w:lang w:val="es-419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45A2" w:rsidRPr="008545A2" w14:paraId="573F50B0" w14:textId="77777777" w:rsidTr="008545A2">
        <w:tc>
          <w:tcPr>
            <w:tcW w:w="9350" w:type="dxa"/>
          </w:tcPr>
          <w:p w14:paraId="4E29C9A4" w14:textId="06F026A4" w:rsidR="008545A2" w:rsidRDefault="008545A2">
            <w:pPr>
              <w:rPr>
                <w:lang w:val="es-419"/>
              </w:rPr>
            </w:pPr>
            <w:r w:rsidRPr="008545A2">
              <w:rPr>
                <w:b/>
                <w:bCs/>
                <w:lang w:val="es-419"/>
              </w:rPr>
              <w:lastRenderedPageBreak/>
              <w:t>Descripción del Modelo de S</w:t>
            </w:r>
            <w:r>
              <w:rPr>
                <w:b/>
                <w:bCs/>
                <w:lang w:val="es-419"/>
              </w:rPr>
              <w:t xml:space="preserve">imulación: </w:t>
            </w:r>
            <w:r>
              <w:rPr>
                <w:lang w:val="es-419"/>
              </w:rPr>
              <w:t>Analizaremos el proceso de atención al cliente brindando por el agente de llamadas</w:t>
            </w:r>
            <w:r w:rsidR="0038100A">
              <w:rPr>
                <w:lang w:val="es-419"/>
              </w:rPr>
              <w:t xml:space="preserve"> de un </w:t>
            </w:r>
            <w:proofErr w:type="spellStart"/>
            <w:proofErr w:type="gramStart"/>
            <w:r w:rsidR="0038100A">
              <w:rPr>
                <w:lang w:val="es-419"/>
              </w:rPr>
              <w:t>Call</w:t>
            </w:r>
            <w:proofErr w:type="spellEnd"/>
            <w:r w:rsidR="0038100A">
              <w:rPr>
                <w:lang w:val="es-419"/>
              </w:rPr>
              <w:t xml:space="preserve"> Center</w:t>
            </w:r>
            <w:proofErr w:type="gramEnd"/>
            <w:r>
              <w:rPr>
                <w:lang w:val="es-419"/>
              </w:rPr>
              <w:t xml:space="preserve">, y la calificación que le dará el cliente al agente en base a la satisfacción por el servicio obtenido. </w:t>
            </w:r>
          </w:p>
          <w:p w14:paraId="386CFE22" w14:textId="77777777" w:rsidR="008545A2" w:rsidRDefault="008545A2">
            <w:pPr>
              <w:rPr>
                <w:lang w:val="es-419"/>
              </w:rPr>
            </w:pPr>
          </w:p>
          <w:p w14:paraId="328BDA68" w14:textId="77777777" w:rsidR="008545A2" w:rsidRDefault="008545A2">
            <w:pPr>
              <w:rPr>
                <w:lang w:val="es-419"/>
              </w:rPr>
            </w:pPr>
            <w:r>
              <w:rPr>
                <w:lang w:val="es-419"/>
              </w:rPr>
              <w:t>El proceso consta de los siguientes pasos:</w:t>
            </w:r>
          </w:p>
          <w:p w14:paraId="42DE407E" w14:textId="77777777" w:rsidR="008545A2" w:rsidRDefault="008545A2">
            <w:pPr>
              <w:rPr>
                <w:lang w:val="es-419"/>
              </w:rPr>
            </w:pPr>
          </w:p>
          <w:p w14:paraId="53BDAAE7" w14:textId="77777777" w:rsidR="008545A2" w:rsidRDefault="008545A2" w:rsidP="008545A2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El cliente inicia la interacción, ya sea llamando a una línea de atención al cliente, iniciando un chat en una página web, o enviando un correo electrónico. El cliente </w:t>
            </w:r>
            <w:r>
              <w:rPr>
                <w:b/>
                <w:bCs/>
                <w:lang w:val="es-419"/>
              </w:rPr>
              <w:t>expone su pregunta o la problemática que enfrenta y solicita ayuda.</w:t>
            </w:r>
          </w:p>
          <w:p w14:paraId="7D70432D" w14:textId="5664A210" w:rsidR="008545A2" w:rsidRDefault="008545A2" w:rsidP="008545A2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Un agente recibe la solicitud y empieza la documentación del caso: Los datos personales del cliente, fecha y hora, ubicación, datos de la cuenta del cliente, una breve descripción del problema y datos varios que varían en dependencia del contexto (ubicación del cliente, datos de la compra realizada, </w:t>
            </w:r>
            <w:proofErr w:type="spellStart"/>
            <w:r>
              <w:rPr>
                <w:lang w:val="es-419"/>
              </w:rPr>
              <w:t>etc</w:t>
            </w:r>
            <w:proofErr w:type="spellEnd"/>
            <w:r>
              <w:rPr>
                <w:lang w:val="es-419"/>
              </w:rPr>
              <w:t>).</w:t>
            </w:r>
          </w:p>
          <w:p w14:paraId="2292D58C" w14:textId="77777777" w:rsidR="008545A2" w:rsidRDefault="008545A2" w:rsidP="008545A2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El agente atiende el problema y brinda la resolución </w:t>
            </w:r>
            <w:r w:rsidR="0038100A">
              <w:rPr>
                <w:lang w:val="es-419"/>
              </w:rPr>
              <w:t xml:space="preserve">mas adecuada en base a la información disponible en su base de datos. </w:t>
            </w:r>
            <w:r w:rsidR="0038100A">
              <w:rPr>
                <w:b/>
                <w:bCs/>
                <w:lang w:val="es-419"/>
              </w:rPr>
              <w:t>Todos los procesos que realice tienen que ser únicamente los aprobados por la empresa.</w:t>
            </w:r>
          </w:p>
          <w:p w14:paraId="74E3483A" w14:textId="77777777" w:rsidR="0038100A" w:rsidRDefault="0038100A" w:rsidP="008545A2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Una vez terminada la interacción, se documentan los pasos llevados a cabo para la resolución del problema y se cierra el </w:t>
            </w:r>
            <w:proofErr w:type="gramStart"/>
            <w:r>
              <w:rPr>
                <w:lang w:val="es-419"/>
              </w:rPr>
              <w:t>ticket</w:t>
            </w:r>
            <w:proofErr w:type="gramEnd"/>
            <w:r>
              <w:rPr>
                <w:lang w:val="es-419"/>
              </w:rPr>
              <w:t>.</w:t>
            </w:r>
          </w:p>
          <w:p w14:paraId="1FBAE219" w14:textId="77777777" w:rsidR="0038100A" w:rsidRDefault="0038100A" w:rsidP="008545A2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El cliente recibe un correo electrónico en el que puede evaluar al agente con una sencilla pregunta: ¿Hemos resuelto tu problema? Las respuestas son únicamente </w:t>
            </w:r>
            <w:r>
              <w:rPr>
                <w:b/>
                <w:bCs/>
                <w:lang w:val="es-419"/>
              </w:rPr>
              <w:t xml:space="preserve">Si </w:t>
            </w:r>
            <w:r>
              <w:rPr>
                <w:lang w:val="es-419"/>
              </w:rPr>
              <w:t xml:space="preserve">o </w:t>
            </w:r>
            <w:r>
              <w:rPr>
                <w:b/>
                <w:bCs/>
                <w:lang w:val="es-419"/>
              </w:rPr>
              <w:t>No.</w:t>
            </w:r>
          </w:p>
          <w:p w14:paraId="65A71E39" w14:textId="2744C655" w:rsidR="0038100A" w:rsidRPr="008545A2" w:rsidRDefault="0038100A" w:rsidP="008545A2">
            <w:pPr>
              <w:pStyle w:val="ListParagraph"/>
              <w:numPr>
                <w:ilvl w:val="0"/>
                <w:numId w:val="1"/>
              </w:numPr>
              <w:rPr>
                <w:lang w:val="es-419"/>
              </w:rPr>
            </w:pPr>
            <w:r>
              <w:rPr>
                <w:lang w:val="es-419"/>
              </w:rPr>
              <w:t xml:space="preserve">La respuesta obtenida se envía al sistema y se asigna a la </w:t>
            </w:r>
            <w:proofErr w:type="gramStart"/>
            <w:r>
              <w:rPr>
                <w:lang w:val="es-419"/>
              </w:rPr>
              <w:t>ticket creada</w:t>
            </w:r>
            <w:proofErr w:type="gramEnd"/>
            <w:r>
              <w:rPr>
                <w:lang w:val="es-419"/>
              </w:rPr>
              <w:t xml:space="preserve"> por el agente.</w:t>
            </w:r>
          </w:p>
        </w:tc>
      </w:tr>
      <w:tr w:rsidR="008545A2" w:rsidRPr="008545A2" w14:paraId="3D915BD5" w14:textId="77777777" w:rsidTr="008545A2">
        <w:tc>
          <w:tcPr>
            <w:tcW w:w="9350" w:type="dxa"/>
          </w:tcPr>
          <w:p w14:paraId="70370469" w14:textId="77777777" w:rsidR="008545A2" w:rsidRDefault="008545A2">
            <w:pPr>
              <w:rPr>
                <w:lang w:val="es-419"/>
              </w:rPr>
            </w:pPr>
            <w:r>
              <w:rPr>
                <w:b/>
                <w:bCs/>
                <w:lang w:val="es-419"/>
              </w:rPr>
              <w:t xml:space="preserve">Resultados Obtenidos: </w:t>
            </w:r>
            <w:r w:rsidR="0038100A">
              <w:rPr>
                <w:lang w:val="es-419"/>
              </w:rPr>
              <w:t xml:space="preserve">Por lo general los </w:t>
            </w:r>
            <w:proofErr w:type="spellStart"/>
            <w:proofErr w:type="gramStart"/>
            <w:r w:rsidR="0038100A">
              <w:rPr>
                <w:lang w:val="es-419"/>
              </w:rPr>
              <w:t>Call</w:t>
            </w:r>
            <w:proofErr w:type="spellEnd"/>
            <w:r w:rsidR="0038100A">
              <w:rPr>
                <w:lang w:val="es-419"/>
              </w:rPr>
              <w:t xml:space="preserve"> Center</w:t>
            </w:r>
            <w:proofErr w:type="gramEnd"/>
            <w:r w:rsidR="0038100A">
              <w:rPr>
                <w:lang w:val="es-419"/>
              </w:rPr>
              <w:t xml:space="preserve"> apuntan a un promedio de satisfacción del cliente lo mas cercano al 100%, por lo general de 90% para arriba siendo considerado un buen promedio y todo lo demás es considerado un área de oportunidad.</w:t>
            </w:r>
          </w:p>
          <w:p w14:paraId="6931CAC6" w14:textId="77777777" w:rsidR="0038100A" w:rsidRDefault="0038100A">
            <w:pPr>
              <w:rPr>
                <w:lang w:val="es-419"/>
              </w:rPr>
            </w:pPr>
          </w:p>
          <w:p w14:paraId="330763ED" w14:textId="051476E9" w:rsidR="0038100A" w:rsidRPr="0038100A" w:rsidRDefault="0038100A">
            <w:pPr>
              <w:rPr>
                <w:lang w:val="es-419"/>
              </w:rPr>
            </w:pPr>
            <w:r>
              <w:rPr>
                <w:lang w:val="es-419"/>
              </w:rPr>
              <w:t xml:space="preserve">Los promedios se contabilizan de manera sencilla, semanalmente se obtiene el promedio de respuesta Si y No del cliente directamente de todas las </w:t>
            </w:r>
            <w:proofErr w:type="gramStart"/>
            <w:r>
              <w:rPr>
                <w:lang w:val="es-419"/>
              </w:rPr>
              <w:t>tickets creadas</w:t>
            </w:r>
            <w:proofErr w:type="gramEnd"/>
            <w:r>
              <w:rPr>
                <w:lang w:val="es-419"/>
              </w:rPr>
              <w:t>. En cas</w:t>
            </w:r>
            <w:r w:rsidR="0031454D">
              <w:rPr>
                <w:lang w:val="es-419"/>
              </w:rPr>
              <w:t>o</w:t>
            </w:r>
            <w:r>
              <w:rPr>
                <w:lang w:val="es-419"/>
              </w:rPr>
              <w:t xml:space="preserve"> de haber agentes que estén por debajo del promedio aceptado se inician procesos de corrección correspondientes.</w:t>
            </w:r>
          </w:p>
        </w:tc>
      </w:tr>
      <w:tr w:rsidR="008545A2" w:rsidRPr="008545A2" w14:paraId="29037B41" w14:textId="77777777" w:rsidTr="008545A2">
        <w:tc>
          <w:tcPr>
            <w:tcW w:w="9350" w:type="dxa"/>
          </w:tcPr>
          <w:p w14:paraId="0C7CC0F7" w14:textId="3785B19F" w:rsidR="0038100A" w:rsidRPr="0038100A" w:rsidRDefault="008545A2">
            <w:pPr>
              <w:rPr>
                <w:lang w:val="es-419"/>
              </w:rPr>
            </w:pPr>
            <w:r>
              <w:rPr>
                <w:b/>
                <w:bCs/>
                <w:lang w:val="es-419"/>
              </w:rPr>
              <w:t xml:space="preserve">Análisis de los Datos de Salida: </w:t>
            </w:r>
            <w:r w:rsidR="0038100A">
              <w:rPr>
                <w:lang w:val="es-419"/>
              </w:rPr>
              <w:t xml:space="preserve">Por motivos de sostenibilidad los </w:t>
            </w:r>
            <w:proofErr w:type="spellStart"/>
            <w:r w:rsidR="0038100A">
              <w:rPr>
                <w:lang w:val="es-419"/>
              </w:rPr>
              <w:t>Call</w:t>
            </w:r>
            <w:proofErr w:type="spellEnd"/>
            <w:r w:rsidR="0038100A">
              <w:rPr>
                <w:lang w:val="es-419"/>
              </w:rPr>
              <w:t xml:space="preserve"> Centers siempre buscan obtener el mayor porcentaje de satisfacción al cliente posible. La gran mayoría de </w:t>
            </w:r>
            <w:proofErr w:type="spellStart"/>
            <w:r w:rsidR="0038100A">
              <w:rPr>
                <w:lang w:val="es-419"/>
              </w:rPr>
              <w:t>Call</w:t>
            </w:r>
            <w:proofErr w:type="spellEnd"/>
            <w:r w:rsidR="0038100A">
              <w:rPr>
                <w:lang w:val="es-419"/>
              </w:rPr>
              <w:t xml:space="preserve"> Centers mantienen sus métricas arriba del </w:t>
            </w:r>
            <w:r w:rsidR="0038100A">
              <w:rPr>
                <w:b/>
                <w:bCs/>
                <w:lang w:val="es-419"/>
              </w:rPr>
              <w:t xml:space="preserve">90%. </w:t>
            </w:r>
            <w:r w:rsidR="0038100A">
              <w:rPr>
                <w:lang w:val="es-419"/>
              </w:rPr>
              <w:t xml:space="preserve">Esto es obtenido gracias a la rigurosa capacitación que se </w:t>
            </w:r>
            <w:proofErr w:type="gramStart"/>
            <w:r w:rsidR="0038100A">
              <w:rPr>
                <w:lang w:val="es-419"/>
              </w:rPr>
              <w:t>le</w:t>
            </w:r>
            <w:proofErr w:type="gramEnd"/>
            <w:r w:rsidR="0038100A">
              <w:rPr>
                <w:lang w:val="es-419"/>
              </w:rPr>
              <w:t xml:space="preserve"> da a los agentes para resolver la mayoría de los casos, y a la aplicación de medidas correctivas drásticas para aquellos que inyecten números negativos a la empresa, incluyendo la terminación de contrato.</w:t>
            </w:r>
          </w:p>
        </w:tc>
      </w:tr>
      <w:tr w:rsidR="008545A2" w:rsidRPr="008545A2" w14:paraId="54F49C95" w14:textId="77777777" w:rsidTr="008545A2">
        <w:tc>
          <w:tcPr>
            <w:tcW w:w="9350" w:type="dxa"/>
          </w:tcPr>
          <w:p w14:paraId="059C36F2" w14:textId="24A68674" w:rsidR="008545A2" w:rsidRPr="0038100A" w:rsidRDefault="008545A2">
            <w:pPr>
              <w:rPr>
                <w:lang w:val="es-419"/>
              </w:rPr>
            </w:pPr>
            <w:r>
              <w:rPr>
                <w:b/>
                <w:bCs/>
                <w:lang w:val="es-419"/>
              </w:rPr>
              <w:t xml:space="preserve">Conclusiones: </w:t>
            </w:r>
            <w:r w:rsidR="0038100A">
              <w:rPr>
                <w:lang w:val="es-419"/>
              </w:rPr>
              <w:t xml:space="preserve">Los niveles de satisfacción al cliente en los </w:t>
            </w:r>
            <w:proofErr w:type="spellStart"/>
            <w:proofErr w:type="gramStart"/>
            <w:r w:rsidR="0038100A">
              <w:rPr>
                <w:lang w:val="es-419"/>
              </w:rPr>
              <w:t>Call</w:t>
            </w:r>
            <w:proofErr w:type="spellEnd"/>
            <w:r w:rsidR="0038100A">
              <w:rPr>
                <w:lang w:val="es-419"/>
              </w:rPr>
              <w:t xml:space="preserve"> Center</w:t>
            </w:r>
            <w:proofErr w:type="gramEnd"/>
            <w:r w:rsidR="0038100A">
              <w:rPr>
                <w:lang w:val="es-419"/>
              </w:rPr>
              <w:t xml:space="preserve"> suelen estar muy altos, caso contrario el </w:t>
            </w:r>
            <w:proofErr w:type="spellStart"/>
            <w:r w:rsidR="0038100A">
              <w:rPr>
                <w:lang w:val="es-419"/>
              </w:rPr>
              <w:t>Call</w:t>
            </w:r>
            <w:proofErr w:type="spellEnd"/>
            <w:r w:rsidR="0038100A">
              <w:rPr>
                <w:lang w:val="es-419"/>
              </w:rPr>
              <w:t xml:space="preserve"> Center corre riesgo de clausurar. No existen muchas áreas de oportunidad en el sistema como tal ya que es muy robustos, sin </w:t>
            </w:r>
            <w:proofErr w:type="gramStart"/>
            <w:r w:rsidR="0038100A">
              <w:rPr>
                <w:lang w:val="es-419"/>
              </w:rPr>
              <w:t>embargo</w:t>
            </w:r>
            <w:proofErr w:type="gramEnd"/>
            <w:r w:rsidR="0038100A">
              <w:rPr>
                <w:lang w:val="es-419"/>
              </w:rPr>
              <w:t xml:space="preserve"> </w:t>
            </w:r>
            <w:r w:rsidR="0038100A">
              <w:rPr>
                <w:b/>
                <w:bCs/>
                <w:lang w:val="es-419"/>
              </w:rPr>
              <w:t xml:space="preserve">si se crea un problema en el área de la satisfacción de los empleados, </w:t>
            </w:r>
            <w:r w:rsidR="0038100A">
              <w:rPr>
                <w:lang w:val="es-419"/>
              </w:rPr>
              <w:t>los cuales están bajo constante estrés por la presión de obtener el mejor porcentaje de satisfacción al cliente posible.</w:t>
            </w:r>
          </w:p>
        </w:tc>
      </w:tr>
      <w:tr w:rsidR="008545A2" w:rsidRPr="008545A2" w14:paraId="602C61E4" w14:textId="77777777" w:rsidTr="008545A2">
        <w:tc>
          <w:tcPr>
            <w:tcW w:w="9350" w:type="dxa"/>
          </w:tcPr>
          <w:p w14:paraId="4727E296" w14:textId="3C7A959B" w:rsidR="008545A2" w:rsidRPr="008545A2" w:rsidRDefault="008545A2">
            <w:pPr>
              <w:rPr>
                <w:lang w:val="es-419"/>
              </w:rPr>
            </w:pPr>
            <w:r>
              <w:rPr>
                <w:b/>
                <w:bCs/>
                <w:lang w:val="es-419"/>
              </w:rPr>
              <w:t xml:space="preserve">Recomendaciones: </w:t>
            </w:r>
            <w:r w:rsidR="0038100A">
              <w:rPr>
                <w:lang w:val="es-419"/>
              </w:rPr>
              <w:t>Se recomienda cambiar la metodología de evaluación de la satisfacción por el servicio brindado: En vez de una pregunta de únicas respuestas Si o No, implementar una evaluación del 1 al 5, siendo un 5 la puntuación perfecta y el 1 la mas baja. Esto permitirá cuantificar de manera mas eficiente los niveles de satisfacción del cliente y al mismo tiempo</w:t>
            </w:r>
            <w:r w:rsidR="00D37A91">
              <w:rPr>
                <w:lang w:val="es-419"/>
              </w:rPr>
              <w:t xml:space="preserve"> reducir significativamente el estrés de los agentes.</w:t>
            </w:r>
          </w:p>
        </w:tc>
      </w:tr>
    </w:tbl>
    <w:p w14:paraId="06E35EB8" w14:textId="77777777" w:rsidR="008545A2" w:rsidRPr="008545A2" w:rsidRDefault="008545A2">
      <w:pPr>
        <w:rPr>
          <w:lang w:val="es-419"/>
        </w:rPr>
      </w:pPr>
    </w:p>
    <w:sectPr w:rsidR="008545A2" w:rsidRPr="0085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B1A09"/>
    <w:multiLevelType w:val="hybridMultilevel"/>
    <w:tmpl w:val="CC5691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580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A2"/>
    <w:rsid w:val="001D203D"/>
    <w:rsid w:val="0031454D"/>
    <w:rsid w:val="0038100A"/>
    <w:rsid w:val="005B3043"/>
    <w:rsid w:val="006C57A2"/>
    <w:rsid w:val="007866CD"/>
    <w:rsid w:val="008545A2"/>
    <w:rsid w:val="00D3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F8AC"/>
  <w15:chartTrackingRefBased/>
  <w15:docId w15:val="{DDEE048A-3215-4471-9833-10E2C790B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5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4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6C57A2"/>
    <w:pPr>
      <w:spacing w:after="0" w:line="240" w:lineRule="auto"/>
    </w:pPr>
    <w:rPr>
      <w:rFonts w:eastAsiaTheme="minorEastAsia"/>
      <w:kern w:val="0"/>
      <w:lang w:val="es-US" w:eastAsia="es-MX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Mikel Membreño</dc:creator>
  <cp:keywords/>
  <dc:description/>
  <cp:lastModifiedBy>Mikel Membreño</cp:lastModifiedBy>
  <cp:revision>3</cp:revision>
  <dcterms:created xsi:type="dcterms:W3CDTF">2024-02-10T20:02:00Z</dcterms:created>
  <dcterms:modified xsi:type="dcterms:W3CDTF">2024-02-10T20:33:00Z</dcterms:modified>
</cp:coreProperties>
</file>