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0A1F7C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TÍTULO: Subtítulo</w:t>
      </w:r>
    </w:p>
    <w:p w14:paraId="4615AFDC"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2ADE723F"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Miguel das Neves Lopes</w:t>
      </w:r>
      <w:r>
        <w:rPr>
          <w:rStyle w:val="7"/>
          <w:rFonts w:hint="default" w:ascii="Times New Roman" w:hAnsi="Times New Roman" w:cs="Times New Roman"/>
          <w:sz w:val="24"/>
          <w:szCs w:val="24"/>
          <w:lang w:val="pt-BR"/>
        </w:rPr>
        <w:footnoteReference w:id="0"/>
      </w:r>
    </w:p>
    <w:p w14:paraId="417A1429">
      <w:pPr>
        <w:wordWrap/>
        <w:jc w:val="righ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Rodrigo</w:t>
      </w:r>
    </w:p>
    <w:p w14:paraId="6B9DB6BF">
      <w:pPr>
        <w:wordWrap/>
        <w:jc w:val="righ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Cassius</w:t>
      </w:r>
    </w:p>
    <w:p w14:paraId="3025DB1C"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511D6671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Resumo: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Blabláblá.</w:t>
      </w:r>
    </w:p>
    <w:p w14:paraId="1690E8B4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Palavras-chave: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blablabla.</w:t>
      </w:r>
    </w:p>
    <w:p w14:paraId="63D5D46F"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310155BD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Abstract: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blablabla.</w:t>
      </w:r>
    </w:p>
    <w:p w14:paraId="5E60140B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Keywords: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blablabla.</w:t>
      </w:r>
    </w:p>
    <w:p w14:paraId="25412D76"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2C2CFD1F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Classificação JEL: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ABCD.</w:t>
      </w:r>
    </w:p>
    <w:p w14:paraId="59ECA6C6">
      <w:pPr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3BB288CD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Área Temática: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Economia Regional e Urbana.</w:t>
      </w:r>
    </w:p>
    <w:p w14:paraId="70A9FF1E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062859E5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  <w:sectPr>
          <w:headerReference r:id="rId4" w:type="default"/>
          <w:pgSz w:w="11906" w:h="16838"/>
          <w:pgMar w:top="1134" w:right="850" w:bottom="1134" w:left="850" w:header="720" w:footer="720" w:gutter="0"/>
          <w:cols w:space="720" w:num="1"/>
          <w:docGrid w:linePitch="360" w:charSpace="0"/>
        </w:sectPr>
      </w:pPr>
    </w:p>
    <w:p w14:paraId="07008921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INTRODUÇÃO</w:t>
      </w:r>
    </w:p>
    <w:p w14:paraId="7C55793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Cada vez mais beira o senso comum o fato de que o saneamento básico é essencial para a saúde, educação e qualidade de vida das populações, sendo um adequado indicador de desenvolvimento humano. Isso porque estudos mostram que a ausência de saneamento impacta negativamente o desenvolvimento escolar e reduz a renda média futura dos indivíduos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(Instituto Trata Brasil, 2023, parágrafos 2-4)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. Por exemplo, pessoas sem acesso a saneamento ganham, em média, R$ 2.103,59 por mês, enquanto aquelas com acesso ganham cerca de R$ 3.359,12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(Instituto Trata Brasil, 2024a, parágrafo 5)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. Essa disparidade decorre de fatores como doenças recorrentes e menor tempo de escolaridade – em média 1,8 anos a menos –, que comprometem as oportunidades no mercado de trabalho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(Instituto Trata Brasil, 2024b, parágrafo 2)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, resultando em diferenças de renda, em média, de 12,7% entre quem teve e quem não teve acesso ao saneamento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(Freitas; Magnabosco, 2024, p. 65)</w:t>
      </w:r>
      <w:r>
        <w:rPr>
          <w:rFonts w:hint="default" w:ascii="Times New Roman" w:hAnsi="Times New Roman"/>
          <w:sz w:val="24"/>
          <w:szCs w:val="24"/>
          <w:lang w:val="pt-BR"/>
        </w:rPr>
        <w:t>.</w:t>
      </w:r>
      <w:r>
        <w:rPr>
          <w:rStyle w:val="7"/>
          <w:rFonts w:hint="default" w:ascii="Times New Roman" w:hAnsi="Times New Roman"/>
          <w:sz w:val="24"/>
          <w:szCs w:val="24"/>
          <w:lang w:val="pt-BR"/>
        </w:rPr>
        <w:footnoteReference w:id="1"/>
      </w:r>
    </w:p>
    <w:p w14:paraId="3EDC292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Também, a ausência de saneamento básico está associada a um número alarmante de internações de adolescentes por doenças como diarreias e problemas respiratórios, prejudicando o desenvolvimento físico e cognitivo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(Instituto Trata Brasil, 2024b, parágrafo 4)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. Além disso, alunos do último ano do ensino médio sem acesso a banheiro em casa enfrentam dificuldades em interpretar ironias e resolver problemas matemáticos básicos, como progressões aritméticas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(Instituto Trata Brasil, 2023, parágrafo 5)</w:t>
      </w:r>
      <w:r>
        <w:rPr>
          <w:rFonts w:hint="default" w:ascii="Times New Roman" w:hAnsi="Times New Roman"/>
          <w:sz w:val="24"/>
          <w:szCs w:val="24"/>
          <w:lang w:val="pt-BR"/>
        </w:rPr>
        <w:t>.</w:t>
      </w:r>
    </w:p>
    <w:p w14:paraId="36D64E8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Nesse sentido, o impacto do saneamento inadequado estende-se à saúde pública, agravando a incidência de doenças de veiculação hídrica, como diarreia; respiratórias, como pneumonia; e bucais, como gengivite. Essas condições afetam desproporcionalmente populações da região Norte, que apresentam os menores índices de cobertura de serviços básicos de saneamento no Brasil, agravando os índices de doenças e desigualdades regionais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(Freitas; Magnabosco, 2024, p. 7-8, 20)</w:t>
      </w:r>
      <w:r>
        <w:rPr>
          <w:rFonts w:hint="default" w:ascii="Times New Roman" w:hAnsi="Times New Roman"/>
          <w:sz w:val="24"/>
          <w:szCs w:val="24"/>
          <w:lang w:val="pt-BR"/>
        </w:rPr>
        <w:t>.</w:t>
      </w:r>
    </w:p>
    <w:p w14:paraId="27AEBDB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highlight w:val="none"/>
          <w:lang w:val="pt-BR"/>
        </w:rPr>
      </w:pPr>
      <w:r>
        <w:rPr>
          <w:rFonts w:hint="default" w:ascii="Times New Roman" w:hAnsi="Times New Roman"/>
          <w:sz w:val="24"/>
          <w:szCs w:val="24"/>
          <w:highlight w:val="none"/>
          <w:lang w:val="pt-BR"/>
        </w:rPr>
        <w:t xml:space="preserve">A implementação do Novo Marco Legal do Saneamento pela Lei nº 14.026/2020 surge como uma resposta a esses desafios estruturais, trazendo mudanças significativas, incluindo diretrizes voltadas à universalização dos serviços, sustentabilidade econômico-financeira e maior participação privada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(Leite; Moita Neto; Bezerra, 2022, p. 1041, p. 1044)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. </w:t>
      </w:r>
      <w:r>
        <w:rPr>
          <w:rFonts w:hint="default" w:ascii="Times New Roman" w:hAnsi="Times New Roman"/>
          <w:sz w:val="24"/>
          <w:szCs w:val="24"/>
          <w:highlight w:val="none"/>
          <w:lang w:val="pt-BR"/>
        </w:rPr>
        <w:t>O Novo Marco Legal do Saneamento busca superar deficiências históricas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do setor, como a baixa cobertura de saneamento em áreas periféricas e rurais, além de fomentar a integração entre saneamento básico e outras polít</w:t>
      </w:r>
      <w:r>
        <w:rPr>
          <w:rFonts w:hint="default" w:ascii="Times New Roman" w:hAnsi="Times New Roman"/>
          <w:sz w:val="24"/>
          <w:szCs w:val="24"/>
          <w:highlight w:val="none"/>
          <w:lang w:val="pt-BR"/>
        </w:rPr>
        <w:t xml:space="preserve">icas públicas de desenvolvimento urbano e recursos hídricos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(Leite, Moita Neto e Bezerra, 2022, p. 1041-1042)</w:t>
      </w:r>
      <w:r>
        <w:rPr>
          <w:rFonts w:hint="default" w:ascii="Times New Roman" w:hAnsi="Times New Roman"/>
          <w:sz w:val="24"/>
          <w:szCs w:val="24"/>
          <w:highlight w:val="none"/>
          <w:lang w:val="pt-BR"/>
        </w:rPr>
        <w:t>.</w:t>
      </w:r>
    </w:p>
    <w:p w14:paraId="438509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highlight w:val="yellow"/>
          <w:lang w:val="pt-BR"/>
        </w:rPr>
      </w:pPr>
      <w:r>
        <w:rPr>
          <w:rFonts w:hint="default" w:ascii="Times New Roman" w:hAnsi="Times New Roman"/>
          <w:sz w:val="24"/>
          <w:szCs w:val="24"/>
          <w:highlight w:val="none"/>
          <w:lang w:val="pt-BR"/>
        </w:rPr>
        <w:t xml:space="preserve">Entre os principais pontos, destacam-se a obrigatoriedade de contratos formalizados com metas claras de expansão dos serviços e a exigência de licitação para novas concessões, rompendo com o modelo anterior de contratação direta por meio de convênios de cooperação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(Leite; Moita Neto; Bezerra, 2022, p. 1043-1044).</w:t>
      </w:r>
      <w:r>
        <w:rPr>
          <w:rFonts w:hint="default" w:ascii="Times New Roman" w:hAnsi="Times New Roman"/>
          <w:sz w:val="24"/>
          <w:szCs w:val="24"/>
          <w:highlight w:val="none"/>
          <w:lang w:val="pt-BR"/>
        </w:rPr>
        <w:t xml:space="preserve"> A meta central prevê que, até 2033, 99% da população tenha acesso à água potável e 90% ao esgotamento sanitário, alinhando-se aos Objetivos de Desenvolvimento Sustentável (ODS), especialmente ao ODS 6, que trata de água limpa e saneamento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(Leite; Moita Neto; Bezerra, 2022, p. 1044, p. 1041).</w:t>
      </w:r>
    </w:p>
    <w:p w14:paraId="3F82643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Dados recentes indicam que o investimento anual necessário para universalizar os serviços de saneamento é de R$ 231,09 por habitante, conforme o Plano Nacional de Saneamento Básico (PLANSAB). Contudo, a média atual de investimentos nas 100 maiores cidades brasileiras é de apenas R$ 138,68 por habitante, uma diferença de R$ 92,41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(Instituto Trata Brasil, 2024c, parágrafo 3)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. No contexto regional, o Rio Grande do Sul é uma das regiões que apresentam problemas. Embora 88,1% da população tenha acesso à água potável, apenas 36% conta com coleta de esgoto, e somente 26,6% do esgoto gerado é tratado. Isso resulta no despejo diário de cerca de 448 piscinas olímpicas de esgoto não tratado no meio ambiente. Além disso, o índice de perdas de água chega a 39,5%, refletindo a ineficiência nos sistemas de distribuição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(Instituto Trata Brasil, 2024d, parágrafo 2)</w:t>
      </w:r>
      <w:r>
        <w:rPr>
          <w:rFonts w:hint="default" w:ascii="Times New Roman" w:hAnsi="Times New Roman"/>
          <w:sz w:val="24"/>
          <w:szCs w:val="24"/>
          <w:lang w:val="pt-BR"/>
        </w:rPr>
        <w:t>.</w:t>
      </w:r>
    </w:p>
    <w:p w14:paraId="1893FFC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Este artigo analisa os impactos econômicos </w:t>
      </w:r>
      <w:r>
        <w:rPr>
          <w:rFonts w:hint="default" w:ascii="Times New Roman" w:hAnsi="Times New Roman"/>
          <w:sz w:val="24"/>
          <w:szCs w:val="24"/>
          <w:highlight w:val="red"/>
          <w:lang w:val="pt-BR"/>
        </w:rPr>
        <w:t>e sociais</w:t>
      </w:r>
      <w:r>
        <w:rPr>
          <w:rStyle w:val="7"/>
          <w:rFonts w:hint="default" w:ascii="Times New Roman" w:hAnsi="Times New Roman"/>
          <w:sz w:val="24"/>
          <w:szCs w:val="24"/>
          <w:highlight w:val="red"/>
          <w:lang w:val="pt-BR"/>
        </w:rPr>
        <w:footnoteReference w:id="2"/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da implementação do Novo Marco Legal do Saneamento no Rio Grande do Sul, utilizando uma matriz insumo-produto para modelar os efeitos. A metodologia possibilita explorar como o choque de demanda por saneamento, decorrente das metas de universalização, reverbera na economia local, estimulando a estrutura produtiva e promovendo ganhos de produtividade.</w:t>
      </w:r>
    </w:p>
    <w:p w14:paraId="3061835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348E7080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REFERENCIAL TEÓRICO</w:t>
      </w:r>
    </w:p>
    <w:p w14:paraId="0FDEC07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Silva et al. (2024)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analisaram os impactos socioeconômicos da universalização do saneamento básico no Brasil, utilizando a matriz de insumo-produto. Eles concluíram que os investimentos no setor poderiam gerar um impacto econômico acumulado de cerca de R$ 1,38 trilhão entre 2019 e 2033, com mais de 14 milhões de empregos, sendo a construção civil o setor mais impactado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(Silva et al., 2024, p. 9)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. Além disso, observaram que a expansão de novas redes é responsável por 63,7% desse impacto, enquanto a recuperação de redes existentes contribui com 32,6%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(Silva et al., 2024, p. 17)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. Os resultados também indicaram que cada R$ 1 bilhão investido no setor pode gerar um retorno de R$ 1,77 bilhão no valor de produção e criar mais de 18 mil empregos diretos e indiretos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(Silva et al., 2024, p. 1)</w:t>
      </w:r>
      <w:r>
        <w:rPr>
          <w:rFonts w:hint="default" w:ascii="Times New Roman" w:hAnsi="Times New Roman"/>
          <w:sz w:val="24"/>
          <w:szCs w:val="24"/>
          <w:lang w:val="pt-BR"/>
        </w:rPr>
        <w:t>.</w:t>
      </w:r>
    </w:p>
    <w:p w14:paraId="2C07A2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Macedo e Sampaio (2021)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analisaram a eficiência técnica do setor de saneamento no Brasil em 2015, utilizando a Análise Envoltória de Dados (DEA) para avaliar 18 companhias estaduais. Entre os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benchmarks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identificados, destacaram-se empresas como Sabesp (SP), Copasa (MG) e Sanepar (PR), que apresentaram melhores desempenhos operacionais e maior eficiência no uso de recursos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(Macedo; Sampaio, 2021, p. 21)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. A média de eficiência técnica encontrada foi de 88%, indicando que, em média, as empresas analisadas poderiam melhorar sua produtividade em 12% com o mesmo nível de insumos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(Macedo; Sampaio, 2021, p. 34)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. Por outro lado, a Corsan, responsável pelo saneamento no Rio Grande do Sul, apresentou o pior desempenho no estudo, com uma eficiência técnica de apenas 54%, evidenciando deficiências operacionais e de gestão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(Macedo; Sampaio, 2021, p. 34)</w:t>
      </w:r>
      <w:r>
        <w:rPr>
          <w:rFonts w:hint="default" w:ascii="Times New Roman" w:hAnsi="Times New Roman"/>
          <w:sz w:val="24"/>
          <w:szCs w:val="24"/>
          <w:lang w:val="pt-BR"/>
        </w:rPr>
        <w:t>.</w:t>
      </w:r>
    </w:p>
    <w:p w14:paraId="636C4E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Conforme exposto por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Pescke, Perez e Lara (2022)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, a cobertura de saneamento no Rio Grande do Sul e em outras regiões brasileiras ainda é precária. </w:t>
      </w:r>
      <w:r>
        <w:rPr>
          <w:rFonts w:hint="default" w:ascii="Times New Roman" w:hAnsi="Times New Roman"/>
          <w:sz w:val="24"/>
          <w:szCs w:val="24"/>
          <w:highlight w:val="red"/>
          <w:lang w:val="pt-BR"/>
        </w:rPr>
        <w:t xml:space="preserve">Essa cobertura demonstra </w:t>
      </w:r>
      <w:r>
        <w:rPr>
          <w:rFonts w:hint="default" w:ascii="Times New Roman" w:hAnsi="Times New Roman"/>
          <w:sz w:val="24"/>
          <w:szCs w:val="24"/>
          <w:highlight w:val="red"/>
          <w:lang w:val="pt-BR"/>
        </w:rPr>
        <w:t>forte disparidade entre as regiões do País, de forma que enquanto o Sudeste apresenta o maior desenvolvimento no tratamento de esgoto, parte considerável da população do Norte e do Nordeste ainda convive com esgoto a céu aberto</w:t>
      </w:r>
      <w:r>
        <w:rPr>
          <w:rStyle w:val="7"/>
          <w:rFonts w:hint="default" w:ascii="Times New Roman" w:hAnsi="Times New Roman"/>
          <w:sz w:val="24"/>
          <w:szCs w:val="24"/>
          <w:highlight w:val="red"/>
          <w:lang w:val="pt-BR"/>
        </w:rPr>
        <w:footnoteReference w:id="3"/>
      </w:r>
      <w:r>
        <w:rPr>
          <w:rFonts w:hint="default" w:ascii="Times New Roman" w:hAnsi="Times New Roman"/>
          <w:sz w:val="24"/>
          <w:szCs w:val="24"/>
          <w:highlight w:val="red"/>
          <w:lang w:val="pt-BR"/>
        </w:rPr>
        <w:t xml:space="preserve">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(Pescke; Perez; Lara, 2022, p. 437)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. Em nível nacional, cerca de 37% da população não possui tratamento de esgoto, seja porque o serviço não existe ou porque, mesmo coletado, o esgoto não recebe tratamento adequado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(Pescke; Perez; Lara, 2022, p. 436)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. No Rio Grande do Sul, apenas 26% do esgoto gerado é coletado e tratado, enquanto 24% é gerido de forma autônoma em soluções individuais, restando mais da metade das águas residuais do Estado que é simplesmente despejada sem qualquer tratamento nos corpos hídricos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(Pescke; Perez; Lara, p. 438, 2022, p. 445)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. Essa situação se agrava na Região Metropolitana de Porto Alegre, que concentra três dos dez rios mais poluídos do país – Vale do Rio dos Sinos, Rio Gravataí e Vale do Rio Caí –, todos vertendo suas cargas poluentes no Lago Guaíba, que abastece a capital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(Pescke; Perez; Lara, 2022, p. 439)</w:t>
      </w:r>
      <w:r>
        <w:rPr>
          <w:rFonts w:hint="default" w:ascii="Times New Roman" w:hAnsi="Times New Roman"/>
          <w:sz w:val="24"/>
          <w:szCs w:val="24"/>
          <w:lang w:val="pt-BR"/>
        </w:rPr>
        <w:t>.</w:t>
      </w:r>
      <w:r>
        <w:rPr>
          <w:rStyle w:val="7"/>
          <w:rFonts w:hint="default" w:ascii="Times New Roman" w:hAnsi="Times New Roman"/>
          <w:sz w:val="24"/>
          <w:szCs w:val="24"/>
          <w:lang w:val="pt-BR"/>
        </w:rPr>
        <w:footnoteReference w:id="4"/>
      </w:r>
    </w:p>
    <w:p w14:paraId="69B79E2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3E3B8F8C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METODOLOGIA</w:t>
      </w:r>
    </w:p>
    <w:p w14:paraId="54F611C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A análise parte da abordagem clássica de insumo-produto, na forma proposta por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Leontief (1936)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e detalhada em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Miller e Blair (2009)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, buscando mensurar os efeitos de um choque de demanda final no setor de água e esgoto sobre a economia do Rio Grande do Sul. Para tanto, utilizou-se a matriz de insumo-produto (I–O) estadual referente ao ano de 2019, originalmente composta por 52 setores. A matriz foi desenvolvida pela Secretaria da Fazenda do Estado do Rio Grande do Sul, junto ao Banco Interamericano de Desenvolvimento e a Universidade Federal do Rio de Janeiro, com auxílio do Departamento de Economia e Estatística, da Secretaria de Estado de Fazenda do Rio Grande do Sul e da Receita Federal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(Universidade federal do Rio de Janeiro, 2024)</w:t>
      </w:r>
      <w:r>
        <w:rPr>
          <w:rFonts w:hint="default" w:ascii="Times New Roman" w:hAnsi="Times New Roman"/>
          <w:sz w:val="24"/>
          <w:szCs w:val="24"/>
          <w:lang w:val="pt-BR"/>
        </w:rPr>
        <w:t>. A fim de capturar exclusivamente o impacto de água e esgoto, procedeu-se à desagregação do setor de saneamento em dois segmentos: um constituído apenas por abastecimento de água e coleta/tratamento de esgoto, e outro englobando as demais atividades de saneamento (resíduos sólidos, drenagem etc.).</w:t>
      </w:r>
    </w:p>
    <w:p w14:paraId="75B4D56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A matriz de fluxos intersetoriais </w:t>
      </w:r>
      <m:oMath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X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(dimensão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n×n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) contém elementos 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vertAlign w:val="baseline"/>
                <w:lang w:val="pt-B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pt-BR"/>
              </w:rPr>
              <m:t>x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vertAlign w:val="baseline"/>
                <w:lang w:val="pt-B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pt-BR"/>
              </w:rPr>
              <m:t>ij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vertAlign w:val="baseline"/>
                <w:lang w:val="pt-BR"/>
              </w:rPr>
            </m:ctrlPr>
          </m:sub>
        </m:sSub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que indicam o valor monetário dos bens/serviços fornecidos pelo setor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i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ao setor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j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. Seja 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vertAlign w:val="baseline"/>
                <w:lang w:val="pt-B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pt-BR"/>
              </w:rPr>
              <m:t>x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vertAlign w:val="baseline"/>
                <w:lang w:val="pt-B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pt-BR"/>
              </w:rPr>
              <m:t>j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vertAlign w:val="baseline"/>
                <w:lang w:val="pt-BR"/>
              </w:rPr>
            </m:ctrlPr>
          </m:sub>
        </m:sSub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o valor total de produção do setor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j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. Cada elemento da matriz de coeficientes técnicos diretos </w:t>
      </w:r>
      <m:oMath>
        <m:r>
          <m:rPr>
            <m:sty m:val="b"/>
          </m:rPr>
          <w:rPr>
            <w:rFonts w:ascii="Cambria Math" w:hAnsi="Cambria Math" w:cstheme="minorBidi"/>
            <w:sz w:val="24"/>
            <w:szCs w:val="24"/>
            <w:lang w:val="pt-BR" w:bidi="ar-SA"/>
          </w:rPr>
          <m:t>A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é definido conforme:</w:t>
      </w:r>
    </w:p>
    <w:p w14:paraId="7F884B1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9"/>
        <w:gridCol w:w="503"/>
      </w:tblGrid>
      <w:tr w14:paraId="3475AA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19" w:type="dxa"/>
          </w:tcPr>
          <w:p w14:paraId="73DF6A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ij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ij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,</m:t>
                </m:r>
              </m:oMath>
            </m:oMathPara>
          </w:p>
        </w:tc>
        <w:tc>
          <w:tcPr>
            <w:tcW w:w="503" w:type="dxa"/>
            <w:vAlign w:val="center"/>
          </w:tcPr>
          <w:p w14:paraId="3C21BE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4FE183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24EFB1A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onde 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vertAlign w:val="baseline"/>
                <w:lang w:val="pt-B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pt-BR"/>
              </w:rPr>
              <m:t>a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vertAlign w:val="baseline"/>
                <w:lang w:val="pt-B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vertAlign w:val="baseline"/>
                <w:lang w:val="pt-BR"/>
              </w:rPr>
              <m:t>ij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vertAlign w:val="baseline"/>
                <w:lang w:val="pt-BR"/>
              </w:rPr>
            </m:ctrlPr>
          </m:sub>
        </m:sSub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representa a parcela do valor da produção de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j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proveniente do insumo ofertado por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i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. Esta relação resume quanto o setor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j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depende, em termos proporcionais, dos insumos de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i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para produzir uma unidade de seu produto.</w:t>
      </w:r>
    </w:p>
    <w:p w14:paraId="460B418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A relação fundamental do modelo de Leontief postula que o vetor de produção total </w:t>
      </w:r>
      <m:oMath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x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pode ser decomposto entre uso intermediário e demanda final </w:t>
      </w:r>
      <m:oMath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f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, de acordo com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(Miller; Blair, 2009, p. 20)</w:t>
      </w:r>
      <w:r>
        <w:rPr>
          <w:rFonts w:hint="default" w:ascii="Times New Roman" w:hAnsi="Times New Roman"/>
          <w:sz w:val="24"/>
          <w:szCs w:val="24"/>
          <w:lang w:val="pt-BR"/>
        </w:rPr>
        <w:t>:</w:t>
      </w:r>
    </w:p>
    <w:p w14:paraId="6E3E919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9"/>
        <w:gridCol w:w="503"/>
      </w:tblGrid>
      <w:tr w14:paraId="41E62A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19" w:type="dxa"/>
          </w:tcPr>
          <w:p w14:paraId="27E781E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x=Ax+f</m:t>
                </m:r>
              </m:oMath>
            </m:oMathPara>
          </w:p>
        </w:tc>
        <w:tc>
          <w:tcPr>
            <w:tcW w:w="503" w:type="dxa"/>
            <w:vAlign w:val="center"/>
          </w:tcPr>
          <w:p w14:paraId="3B0F86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FDDDD1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4A345A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Ao rearranjar essa expressão, obtém-se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(Miller; Blair, 2009, p. 21)</w:t>
      </w:r>
      <w:r>
        <w:rPr>
          <w:rFonts w:hint="default" w:ascii="Times New Roman" w:hAnsi="Times New Roman"/>
          <w:sz w:val="24"/>
          <w:szCs w:val="24"/>
          <w:lang w:val="pt-BR"/>
        </w:rPr>
        <w:t>:</w:t>
      </w:r>
    </w:p>
    <w:p w14:paraId="04402B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9"/>
        <w:gridCol w:w="503"/>
      </w:tblGrid>
      <w:tr w14:paraId="0D8E9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19" w:type="dxa"/>
          </w:tcPr>
          <w:p w14:paraId="0CF328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i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I−A</m:t>
                    </m:r>
                    <m:ctrlPr>
                      <w:rPr>
                        <w:rFonts w:hint="default" w:ascii="Cambria Math" w:hAnsi="Cambria Math" w:cs="Times New Roman"/>
                        <w:b/>
                        <w:i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 xml:space="preserve">x=f   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vertAlign w:val="baseline"/>
                    <w:lang w:val="pt-BR"/>
                  </w:rPr>
                  <m:t>⟹</m:t>
                </m:r>
                <m:r>
                  <m:rPr>
                    <m:sty m:val="b"/>
                  </m:rPr>
                  <w:rPr>
                    <w:rFonts w:hint="default" w:ascii="Cambria Math" w:hAnsi="Cambria Math"/>
                    <w:sz w:val="24"/>
                    <w:szCs w:val="24"/>
                    <w:vertAlign w:val="baseline"/>
                    <w:lang w:val="pt-BR"/>
                  </w:rPr>
                  <m:t xml:space="preserve">   x=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default" w:ascii="Cambria Math" w:hAnsi="Cambria Math"/>
                            <w:b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pt-BR"/>
                          </w:rPr>
                          <m:t>I−A</m:t>
                        </m:r>
                        <m:ctrlPr>
                          <w:rPr>
                            <w:rFonts w:hint="default" w:ascii="Cambria Math" w:hAnsi="Cambria Math"/>
                            <w:b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/>
                        <w:b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pt-BR"/>
                      </w:rPr>
                      <m:t>−1</m:t>
                    </m:r>
                    <m:ctrlPr>
                      <w:rPr>
                        <w:rFonts w:hint="default" w:ascii="Cambria Math" w:hAnsi="Cambria Math"/>
                        <w:b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up>
                </m:sSup>
                <m:r>
                  <m:rPr>
                    <m:sty m:val="b"/>
                  </m:rPr>
                  <w:rPr>
                    <w:rFonts w:hint="default" w:ascii="Cambria Math" w:hAnsi="Cambria Math"/>
                    <w:sz w:val="24"/>
                    <w:szCs w:val="24"/>
                    <w:vertAlign w:val="baseline"/>
                    <w:lang w:val="pt-BR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vertAlign w:val="baseline"/>
                    <w:lang w:val="pt-BR"/>
                  </w:rPr>
                  <m:t>.</m:t>
                </m:r>
              </m:oMath>
            </m:oMathPara>
          </w:p>
        </w:tc>
        <w:tc>
          <w:tcPr>
            <w:tcW w:w="503" w:type="dxa"/>
            <w:vAlign w:val="center"/>
          </w:tcPr>
          <w:p w14:paraId="6CDF0B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1F5E6B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3735C2E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A matriz </w:t>
      </w:r>
      <m:oMath>
        <m:sSup>
          <m:sSupPr>
            <m:ctrlPr>
              <w:rPr>
                <w:rFonts w:hint="default" w:ascii="Cambria Math" w:hAnsi="Cambria Math"/>
                <w:b/>
                <w:sz w:val="24"/>
                <w:szCs w:val="24"/>
                <w:vertAlign w:val="baseline"/>
                <w:lang w:val="pt-BR"/>
              </w:rPr>
            </m:ctrlPr>
          </m:sSupPr>
          <m:e>
            <m:d>
              <m:dPr>
                <m:ctrlPr>
                  <w:rPr>
                    <w:rFonts w:hint="default" w:ascii="Cambria Math" w:hAnsi="Cambria Math"/>
                    <w:b/>
                    <w:sz w:val="24"/>
                    <w:szCs w:val="24"/>
                    <w:vertAlign w:val="baseline"/>
                    <w:lang w:val="pt-BR"/>
                  </w:rPr>
                </m:ctrlPr>
              </m:dPr>
              <m:e>
                <m:r>
                  <m:rPr>
                    <m:sty m:val="b"/>
                  </m:rPr>
                  <w:rPr>
                    <w:rFonts w:hint="default" w:ascii="Cambria Math" w:hAnsi="Cambria Math"/>
                    <w:sz w:val="24"/>
                    <w:szCs w:val="24"/>
                    <w:vertAlign w:val="baseline"/>
                    <w:lang w:val="pt-BR"/>
                  </w:rPr>
                  <m:t>I−A</m:t>
                </m:r>
                <m:ctrlPr>
                  <w:rPr>
                    <w:rFonts w:hint="default" w:ascii="Cambria Math" w:hAnsi="Cambria Math"/>
                    <w:b/>
                    <w:sz w:val="24"/>
                    <w:szCs w:val="24"/>
                    <w:vertAlign w:val="baseline"/>
                    <w:lang w:val="pt-BR"/>
                  </w:rPr>
                </m:ctrlPr>
              </m:e>
            </m:d>
            <m:ctrlPr>
              <w:rPr>
                <w:rFonts w:hint="default" w:ascii="Cambria Math" w:hAnsi="Cambria Math"/>
                <w:b/>
                <w:sz w:val="24"/>
                <w:szCs w:val="24"/>
                <w:vertAlign w:val="baseline"/>
                <w:lang w:val="pt-B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vertAlign w:val="baseline"/>
                <w:lang w:val="pt-BR"/>
              </w:rPr>
              <m:t>−1</m:t>
            </m:r>
            <m:ctrlPr>
              <w:rPr>
                <w:rFonts w:hint="default" w:ascii="Cambria Math" w:hAnsi="Cambria Math"/>
                <w:b/>
                <w:sz w:val="24"/>
                <w:szCs w:val="24"/>
                <w:vertAlign w:val="baseline"/>
                <w:lang w:val="pt-BR"/>
              </w:rPr>
            </m:ctrlPr>
          </m:sup>
        </m:sSup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é a inversa de Leontief, aqui denotada por </w:t>
      </w:r>
      <m:oMath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L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. Cada elemento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pt-BR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pt-BR"/>
              </w:rPr>
              <m:t>ij</m:t>
            </m: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ub>
        </m:sSub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de </w:t>
      </w:r>
      <m:oMath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L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mede o impacto total (direto e indireto) na produção do setor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i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, resultante de um acréscimo unitário na demanda final do setor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j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>.</w:t>
      </w:r>
    </w:p>
    <w:p w14:paraId="64DCC1E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Para isolar o efeito de água e esgoto, a desagregação setorial foi realizada de modo a ajustar a matriz </w:t>
      </w:r>
      <m:oMath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X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e, por conseguinte, </w:t>
      </w:r>
      <m:oMath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A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, criando-se uma categoria denominada “Água e Esgoto”. </w:t>
      </w:r>
      <w:r>
        <w:rPr>
          <w:rFonts w:hint="default" w:ascii="Times New Roman" w:hAnsi="Times New Roman"/>
          <w:sz w:val="24"/>
          <w:szCs w:val="24"/>
          <w:highlight w:val="red"/>
          <w:lang w:val="pt-BR"/>
        </w:rPr>
        <w:t>Com base em dados do SNIS, de companhias locais e de outras fontes oficiais</w:t>
      </w:r>
      <w:r>
        <w:rPr>
          <w:rStyle w:val="7"/>
          <w:rFonts w:hint="default" w:ascii="Times New Roman" w:hAnsi="Times New Roman"/>
          <w:sz w:val="24"/>
          <w:szCs w:val="24"/>
          <w:highlight w:val="red"/>
          <w:lang w:val="pt-BR"/>
        </w:rPr>
        <w:footnoteReference w:id="5"/>
      </w:r>
      <w:r>
        <w:rPr>
          <w:rFonts w:hint="default" w:ascii="Times New Roman" w:hAnsi="Times New Roman"/>
          <w:sz w:val="24"/>
          <w:szCs w:val="24"/>
          <w:highlight w:val="red"/>
          <w:lang w:val="pt-BR"/>
        </w:rPr>
        <w:t>,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repartiram-se as transações intersetoriais do antigo setor de saneamento entre a nova categoria “Água e Esgoto” e a rubrica “Outros Serviços de Saneamento”. Esse procedimento assegura que, ao se injetar demanda adicional nesse novo setor, a modelagem não atribuirá efeitos indevidos a atividades alheias aos serviços de água e esgoto.</w:t>
      </w:r>
    </w:p>
    <w:p w14:paraId="3F9E24F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Uma vez definida a nova matriz </w:t>
      </w:r>
      <m:oMath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A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e recalculada a inversa de Leontief </w:t>
      </w:r>
      <m:oMath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L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, simula-se um choque de demanda exógena </w:t>
      </w:r>
      <m:oMath>
        <m:r>
          <m:rPr>
            <m:sty m:val="p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Δ</m:t>
        </m:r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f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focado apenas no componente correspondente ao setor “Água e Esgoto”. Se a posição desse setor no vetor de demanda final for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k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, tem-se um acréscimo </w:t>
      </w:r>
      <m:oMath>
        <m:r>
          <m:rPr>
            <m:sty m:val="p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Δ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sz w:val="24"/>
                <w:szCs w:val="24"/>
                <w:lang w:val="pt-BR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4"/>
                <w:szCs w:val="24"/>
                <w:lang w:val="pt-BR" w:bidi="ar-SA"/>
              </w:rPr>
              <m:t>f</m:t>
            </m:r>
            <m:ctrlPr>
              <w:rPr>
                <w:rFonts w:hint="default" w:ascii="Cambria Math" w:hAnsi="Cambria Math" w:cstheme="minorBidi"/>
                <w:i/>
                <w:iCs/>
                <w:sz w:val="24"/>
                <w:szCs w:val="24"/>
                <w:lang w:val="pt-BR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4"/>
                <w:szCs w:val="24"/>
                <w:lang w:val="pt-BR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sz w:val="24"/>
                <w:szCs w:val="24"/>
                <w:lang w:val="pt-BR" w:bidi="ar-SA"/>
              </w:rPr>
            </m:ctrlPr>
          </m:sub>
        </m:sSub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concentrado nessa única entrada, com as demais permanecendo inalteradas. A variação na produção resultante, </w:t>
      </w:r>
      <m:oMath>
        <m:r>
          <m:rPr>
            <m:sty m:val="p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Δ</m:t>
        </m:r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x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>, satisfaz:</w:t>
      </w:r>
    </w:p>
    <w:p w14:paraId="2815A21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9"/>
        <w:gridCol w:w="503"/>
      </w:tblGrid>
      <w:tr w14:paraId="12AAFD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19" w:type="dxa"/>
          </w:tcPr>
          <w:p w14:paraId="111202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4"/>
                    <w:szCs w:val="24"/>
                    <w:lang w:val="pt-BR" w:bidi="ar-SA"/>
                  </w:rPr>
                  <m:t>Δ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x=L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4"/>
                    <w:szCs w:val="24"/>
                    <w:lang w:val="pt-BR" w:bidi="ar-SA"/>
                  </w:rPr>
                  <m:t>Δ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.</m:t>
                </m:r>
              </m:oMath>
            </m:oMathPara>
          </w:p>
        </w:tc>
        <w:tc>
          <w:tcPr>
            <w:tcW w:w="503" w:type="dxa"/>
            <w:vAlign w:val="center"/>
          </w:tcPr>
          <w:p w14:paraId="43B014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bookmarkStart w:id="0" w:name="_Ref24214"/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65E9DE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44E364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Cada componente </w:t>
      </w:r>
      <m:oMath>
        <m:r>
          <m:rPr>
            <m:sty m:val="p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Δ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sz w:val="24"/>
                <w:szCs w:val="24"/>
                <w:lang w:val="pt-BR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4"/>
                <w:szCs w:val="24"/>
                <w:lang w:val="pt-BR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sz w:val="24"/>
                <w:szCs w:val="24"/>
                <w:lang w:val="pt-BR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4"/>
                <w:szCs w:val="24"/>
                <w:lang w:val="pt-BR" w:bidi="ar-SA"/>
              </w:rPr>
              <m:t>i</m:t>
            </m:r>
            <m:ctrlPr>
              <w:rPr>
                <w:rFonts w:hint="default" w:ascii="Cambria Math" w:hAnsi="Cambria Math" w:cstheme="minorBidi"/>
                <w:i/>
                <w:iCs/>
                <w:sz w:val="24"/>
                <w:szCs w:val="24"/>
                <w:lang w:val="pt-BR" w:bidi="ar-SA"/>
              </w:rPr>
            </m:ctrlPr>
          </m:sub>
        </m:sSub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indica quanto a produção do setor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i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responde ao acréscimo exógeno direcionado ao setor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k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. O valor de </w:t>
      </w:r>
      <m:oMath>
        <m:r>
          <m:rPr>
            <m:sty m:val="p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Δ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sz w:val="24"/>
                <w:szCs w:val="24"/>
                <w:lang w:val="pt-BR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4"/>
                <w:szCs w:val="24"/>
                <w:lang w:val="pt-BR" w:bidi="ar-SA"/>
              </w:rPr>
              <m:t>f</m:t>
            </m:r>
            <m:ctrlPr>
              <w:rPr>
                <w:rFonts w:hint="default" w:ascii="Cambria Math" w:hAnsi="Cambria Math" w:cstheme="minorBidi"/>
                <w:i/>
                <w:iCs/>
                <w:sz w:val="24"/>
                <w:szCs w:val="24"/>
                <w:lang w:val="pt-BR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4"/>
                <w:szCs w:val="24"/>
                <w:lang w:val="pt-BR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sz w:val="24"/>
                <w:szCs w:val="24"/>
                <w:lang w:val="pt-BR" w:bidi="ar-SA"/>
              </w:rPr>
            </m:ctrlPr>
          </m:sub>
        </m:sSub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pode ser definido como, por exemplo, “R$ 1 bilhão” ou “o montante faltante para atingir as metas de universalização até 2033”.</w:t>
      </w:r>
    </w:p>
    <w:p w14:paraId="1692867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Para a análise de valor adicionado bruto (VAB), considera-se um vetor de coeficientes de valor adicionado </w:t>
      </w:r>
      <m:oMath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v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(dimensão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1×n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), no qual cada 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sz w:val="24"/>
                <w:szCs w:val="24"/>
                <w:lang w:val="pt-BR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4"/>
                <w:szCs w:val="24"/>
                <w:lang w:val="pt-BR" w:bidi="ar-SA"/>
              </w:rPr>
              <m:t>v</m:t>
            </m:r>
            <m:ctrlPr>
              <w:rPr>
                <w:rFonts w:hint="default" w:ascii="Cambria Math" w:hAnsi="Cambria Math" w:cstheme="minorBidi"/>
                <w:i/>
                <w:iCs/>
                <w:sz w:val="24"/>
                <w:szCs w:val="24"/>
                <w:lang w:val="pt-BR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4"/>
                <w:szCs w:val="24"/>
                <w:lang w:val="pt-BR" w:bidi="ar-SA"/>
              </w:rPr>
              <m:t>i</m:t>
            </m:r>
            <m:ctrlPr>
              <w:rPr>
                <w:rFonts w:hint="default" w:ascii="Cambria Math" w:hAnsi="Cambria Math" w:cstheme="minorBidi"/>
                <w:i/>
                <w:iCs/>
                <w:sz w:val="24"/>
                <w:szCs w:val="24"/>
                <w:lang w:val="pt-BR" w:bidi="ar-SA"/>
              </w:rPr>
            </m:ctrlPr>
          </m:sub>
        </m:sSub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representa a razão entre o VAB e o valor de produção do setor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i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>. Assim, a variação total no valor adicionado decorrente do choque é estimada por:</w:t>
      </w:r>
    </w:p>
    <w:p w14:paraId="02F5F9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9"/>
        <w:gridCol w:w="503"/>
      </w:tblGrid>
      <w:tr w14:paraId="4B87D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19" w:type="dxa"/>
          </w:tcPr>
          <w:p w14:paraId="7A3060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vertAlign w:val="baseline"/>
                    <w:lang w:val="pt-BR"/>
                  </w:rPr>
                  <m:t>Δ</m:t>
                </m:r>
                <m:r>
                  <m:rPr/>
                  <w:rPr>
                    <w:rFonts w:hint="default" w:ascii="Cambria Math" w:hAnsi="Cambria Math"/>
                    <w:sz w:val="24"/>
                    <w:szCs w:val="24"/>
                    <w:vertAlign w:val="baseline"/>
                    <w:lang w:val="pt-BR"/>
                  </w:rPr>
                  <m:t>VA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=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v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4"/>
                    <w:szCs w:val="24"/>
                    <w:lang w:val="pt-BR" w:bidi="ar-SA"/>
                  </w:rPr>
                  <m:t>Δ</m:t>
                </m:r>
                <m:r>
                  <m:rPr>
                    <m:sty m:val="b"/>
                  </m:rPr>
                  <w:rPr>
                    <w:rFonts w:hint="default" w:ascii="Cambria Math" w:hAnsi="Cambria Math" w:cstheme="minorBidi"/>
                    <w:sz w:val="24"/>
                    <w:szCs w:val="24"/>
                    <w:lang w:val="pt-BR" w:bidi="ar-SA"/>
                  </w:rPr>
                  <m:t>x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.</m:t>
                </m:r>
              </m:oMath>
            </m:oMathPara>
          </w:p>
        </w:tc>
        <w:tc>
          <w:tcPr>
            <w:tcW w:w="503" w:type="dxa"/>
            <w:vAlign w:val="center"/>
          </w:tcPr>
          <w:p w14:paraId="75827F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D2A3D5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23F8335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Do mesmo modo, pode-se aferir o impacto sobre o emprego a partir de um vetor </w:t>
      </w:r>
      <m:oMath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e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(também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1×n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), cujos elementos </w:t>
      </w:r>
      <m:oMath>
        <m:sSub>
          <m:sSubPr>
            <m:ctrlPr>
              <w:rPr>
                <w:rFonts w:ascii="Cambria Math" w:hAnsi="Cambria Math"/>
                <w:i/>
                <w:iCs w:val="0"/>
                <w:sz w:val="24"/>
                <w:szCs w:val="24"/>
                <w:lang w:val="pt-BR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pt-BR"/>
              </w:rPr>
              <m:t>e</m:t>
            </m:r>
            <m:ctrlPr>
              <w:rPr>
                <w:rFonts w:ascii="Cambria Math" w:hAnsi="Cambria Math"/>
                <w:i/>
                <w:iCs w:val="0"/>
                <w:sz w:val="24"/>
                <w:szCs w:val="24"/>
                <w:lang w:val="pt-BR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pt-BR"/>
              </w:rPr>
              <m:t>i</m:t>
            </m:r>
            <m:ctrlPr>
              <w:rPr>
                <w:rFonts w:ascii="Cambria Math" w:hAnsi="Cambria Math"/>
                <w:i/>
                <w:iCs w:val="0"/>
                <w:sz w:val="24"/>
                <w:szCs w:val="24"/>
                <w:lang w:val="pt-BR"/>
              </w:rPr>
            </m:ctrlPr>
          </m:sub>
        </m:sSub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indicam a quantidade de postos de trabalho exigida por unidade de produção de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i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. A variação total no emprego correspondente ao choque, </w:t>
      </w:r>
      <m:oMath>
        <m:r>
          <m:rPr>
            <m:sty m:val="p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Δ</m:t>
        </m:r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Emp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>, obtém-se via:</w:t>
      </w:r>
    </w:p>
    <w:p w14:paraId="0BF6BA6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9"/>
        <w:gridCol w:w="503"/>
      </w:tblGrid>
      <w:tr w14:paraId="25D54F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19" w:type="dxa"/>
          </w:tcPr>
          <w:p w14:paraId="400577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vertAlign w:val="baseline"/>
                    <w:lang w:val="pt-BR"/>
                  </w:rPr>
                  <m:t>Δ</m:t>
                </m:r>
                <m:r>
                  <m:rPr/>
                  <w:rPr>
                    <w:rFonts w:hint="default" w:ascii="Cambria Math" w:hAnsi="Cambria Math"/>
                    <w:sz w:val="24"/>
                    <w:szCs w:val="24"/>
                    <w:vertAlign w:val="baseline"/>
                    <w:lang w:val="pt-BR"/>
                  </w:rPr>
                  <m:t>Emp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=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e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4"/>
                    <w:szCs w:val="24"/>
                    <w:lang w:val="pt-BR" w:bidi="ar-SA"/>
                  </w:rPr>
                  <m:t>Δ</m:t>
                </m:r>
                <m:r>
                  <m:rPr>
                    <m:sty m:val="b"/>
                  </m:rPr>
                  <w:rPr>
                    <w:rFonts w:hint="default" w:ascii="Cambria Math" w:hAnsi="Cambria Math" w:cstheme="minorBidi"/>
                    <w:sz w:val="24"/>
                    <w:szCs w:val="24"/>
                    <w:lang w:val="pt-BR" w:bidi="ar-SA"/>
                  </w:rPr>
                  <m:t>x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.</m:t>
                </m:r>
              </m:oMath>
            </m:oMathPara>
          </w:p>
        </w:tc>
        <w:tc>
          <w:tcPr>
            <w:tcW w:w="503" w:type="dxa"/>
            <w:vAlign w:val="center"/>
          </w:tcPr>
          <w:p w14:paraId="082F8D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bookmarkStart w:id="1" w:name="_Ref24280"/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  <w:bookmarkEnd w:id="1"/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EA32A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272D031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Essas métricas permitem avaliar, em conjunto, o ganho (ou perda) em termos de produção, renda e ocupação, considerando não apenas efeitos diretos sobre o setor estimulado, mas também os encadeamentos indiretos resultantes da aquisição de insumos por parte desse setor.</w:t>
      </w:r>
    </w:p>
    <w:p w14:paraId="14E315A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Como complemento, utilizam-se os índices de ligação (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backward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e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forward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linkages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), conforme proposições de </w:t>
      </w:r>
      <w:r>
        <w:rPr>
          <w:rFonts w:hint="default" w:ascii="Times New Roman" w:hAnsi="Times New Roman"/>
          <w:sz w:val="24"/>
          <w:szCs w:val="24"/>
          <w:highlight w:val="red"/>
          <w:lang w:val="pt-BR"/>
        </w:rPr>
        <w:t>Rasmussen (1956)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e </w:t>
      </w:r>
      <w:r>
        <w:rPr>
          <w:rFonts w:hint="default" w:ascii="Times New Roman" w:hAnsi="Times New Roman"/>
          <w:sz w:val="24"/>
          <w:szCs w:val="24"/>
          <w:highlight w:val="red"/>
          <w:lang w:val="pt-BR"/>
        </w:rPr>
        <w:t>Hirschman (1958)</w:t>
      </w:r>
      <w:r>
        <w:rPr>
          <w:rStyle w:val="7"/>
          <w:rFonts w:hint="default" w:ascii="Times New Roman" w:hAnsi="Times New Roman"/>
          <w:sz w:val="24"/>
          <w:szCs w:val="24"/>
          <w:highlight w:val="red"/>
          <w:lang w:val="pt-BR"/>
        </w:rPr>
        <w:footnoteReference w:id="6"/>
      </w:r>
      <w:r>
        <w:rPr>
          <w:rFonts w:hint="default" w:ascii="Times New Roman" w:hAnsi="Times New Roman"/>
          <w:sz w:val="24"/>
          <w:szCs w:val="24"/>
          <w:lang w:val="pt-BR"/>
        </w:rPr>
        <w:t xml:space="preserve">. Para cada setor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j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>, o encadeamento para trás (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Backward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Linkage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, BL) pode ser calculado pela soma da coluna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j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de </w:t>
      </w:r>
      <m:oMath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L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e comparado à média dos elementos de </w:t>
      </w:r>
      <m:oMath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L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>. O indicador normalizado de BL é:</w:t>
      </w:r>
    </w:p>
    <w:p w14:paraId="3BD69BA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9"/>
        <w:gridCol w:w="503"/>
      </w:tblGrid>
      <w:tr w14:paraId="3F3B29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19" w:type="dxa"/>
          </w:tcPr>
          <w:p w14:paraId="546D14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BL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naryPr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  <m:t>ij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naryPr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  <m:t>j=1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Times New Roman"/>
                                    <w:b w:val="0"/>
                                    <w:bCs w:val="0"/>
                                    <w:i/>
                                    <w:iCs/>
                                    <w:sz w:val="24"/>
                                    <w:szCs w:val="24"/>
                                    <w:vertAlign w:val="baseline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4"/>
                                    <w:szCs w:val="24"/>
                                    <w:vertAlign w:val="baseline"/>
                                    <w:lang w:val="pt-BR"/>
                                  </w:rPr>
                                  <m:t>l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b w:val="0"/>
                                    <w:bCs w:val="0"/>
                                    <w:i/>
                                    <w:iCs/>
                                    <w:sz w:val="24"/>
                                    <w:szCs w:val="24"/>
                                    <w:vertAlign w:val="baseline"/>
                                    <w:lang w:val="pt-BR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4"/>
                                    <w:szCs w:val="24"/>
                                    <w:vertAlign w:val="baseline"/>
                                    <w:lang w:val="pt-BR"/>
                                  </w:rPr>
                                  <m:t>ij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b w:val="0"/>
                                    <w:bCs w:val="0"/>
                                    <w:i/>
                                    <w:iCs/>
                                    <w:sz w:val="24"/>
                                    <w:szCs w:val="24"/>
                                    <w:vertAlign w:val="baseline"/>
                                    <w:lang w:val="pt-BR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e>
                        </m:nary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,</m:t>
                </m:r>
              </m:oMath>
            </m:oMathPara>
          </w:p>
        </w:tc>
        <w:tc>
          <w:tcPr>
            <w:tcW w:w="503" w:type="dxa"/>
            <w:vAlign w:val="center"/>
          </w:tcPr>
          <w:p w14:paraId="46D3BD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31DBF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407407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ao passo que o encadeamento para frente (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Forward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Linkage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, FL) do setor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i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corresponde à soma da linha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i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de </w:t>
      </w:r>
      <m:oMath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L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e pode ser escrito como:</w:t>
      </w:r>
    </w:p>
    <w:p w14:paraId="3ED6EA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9"/>
        <w:gridCol w:w="503"/>
      </w:tblGrid>
      <w:tr w14:paraId="6A99CA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19" w:type="dxa"/>
          </w:tcPr>
          <w:p w14:paraId="66CF66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FL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naryPr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j=1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  <m:t>ij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naryPr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  <m:t>j=1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Times New Roman"/>
                                    <w:b w:val="0"/>
                                    <w:bCs w:val="0"/>
                                    <w:i/>
                                    <w:iCs/>
                                    <w:sz w:val="24"/>
                                    <w:szCs w:val="24"/>
                                    <w:vertAlign w:val="baseline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4"/>
                                    <w:szCs w:val="24"/>
                                    <w:vertAlign w:val="baseline"/>
                                    <w:lang w:val="pt-BR"/>
                                  </w:rPr>
                                  <m:t>l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b w:val="0"/>
                                    <w:bCs w:val="0"/>
                                    <w:i/>
                                    <w:iCs/>
                                    <w:sz w:val="24"/>
                                    <w:szCs w:val="24"/>
                                    <w:vertAlign w:val="baseline"/>
                                    <w:lang w:val="pt-BR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4"/>
                                    <w:szCs w:val="24"/>
                                    <w:vertAlign w:val="baseline"/>
                                    <w:lang w:val="pt-BR"/>
                                  </w:rPr>
                                  <m:t>ij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b w:val="0"/>
                                    <w:bCs w:val="0"/>
                                    <w:i/>
                                    <w:iCs/>
                                    <w:sz w:val="24"/>
                                    <w:szCs w:val="24"/>
                                    <w:vertAlign w:val="baseline"/>
                                    <w:lang w:val="pt-BR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e>
                        </m:nary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iCs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.</m:t>
                </m:r>
              </m:oMath>
            </m:oMathPara>
          </w:p>
        </w:tc>
        <w:tc>
          <w:tcPr>
            <w:tcW w:w="503" w:type="dxa"/>
            <w:vAlign w:val="center"/>
          </w:tcPr>
          <w:p w14:paraId="619B50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1F4E10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66C7B1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Esses índices ajudam a classificar a importância de cada setor como demandante (ligação para trás) e como fornecedor (ligação para frente) na estrutura produtiva, verificando se a respectiva participação nas cadeias de produção é superior ou inferior à média da economia. Dessa forma, valores acima de 1 indicam encadeamentos superiores à média.</w:t>
      </w:r>
    </w:p>
    <w:p w14:paraId="33CDE80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Finalmente, os multiplicadores de produção, valor adicionado e emprego complementam o estudo. Para um setor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k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, o multiplicador de produção (também chamado de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output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multiplier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) é dado pela soma de sua coluna na matriz </w:t>
      </w:r>
      <m:oMath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L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>, ou:</w:t>
      </w:r>
    </w:p>
    <w:p w14:paraId="5243109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9"/>
        <w:gridCol w:w="503"/>
      </w:tblGrid>
      <w:tr w14:paraId="7EF84A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19" w:type="dxa"/>
          </w:tcPr>
          <w:p w14:paraId="7E33B7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m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i=1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n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pt-BR"/>
                          </w:rPr>
                          <m:t>ik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.</m:t>
                </m:r>
              </m:oMath>
            </m:oMathPara>
          </w:p>
        </w:tc>
        <w:tc>
          <w:tcPr>
            <w:tcW w:w="503" w:type="dxa"/>
            <w:vAlign w:val="center"/>
          </w:tcPr>
          <w:p w14:paraId="696AD4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18B4F6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3F5E3C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Em termos de valor adicionado, define-se:</w:t>
      </w:r>
    </w:p>
    <w:p w14:paraId="62B20E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1"/>
        <w:gridCol w:w="621"/>
      </w:tblGrid>
      <w:tr w14:paraId="2E8D9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01" w:type="dxa"/>
          </w:tcPr>
          <w:p w14:paraId="447C48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m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VA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=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v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L.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,</m:t>
                </m:r>
              </m:oMath>
            </m:oMathPara>
          </w:p>
        </w:tc>
        <w:tc>
          <w:tcPr>
            <w:tcW w:w="621" w:type="dxa"/>
            <w:vAlign w:val="center"/>
          </w:tcPr>
          <w:p w14:paraId="61C91F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A577B5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2CFF2D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E, para emprego, tem-se</w:t>
      </w:r>
    </w:p>
    <w:p w14:paraId="0C13C7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1"/>
        <w:gridCol w:w="621"/>
      </w:tblGrid>
      <w:tr w14:paraId="6DA228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01" w:type="dxa"/>
          </w:tcPr>
          <w:p w14:paraId="6037C9E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m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Emp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=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e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L.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.</m:t>
                </m:r>
              </m:oMath>
            </m:oMathPara>
          </w:p>
        </w:tc>
        <w:tc>
          <w:tcPr>
            <w:tcW w:w="621" w:type="dxa"/>
            <w:vAlign w:val="center"/>
          </w:tcPr>
          <w:p w14:paraId="4AD1135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73443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3038E39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Essas expressões permitem quantificar quanto a economia, em média, reage ao incremento unitário de demanda final setorial, expressando quanto se gera adicionalmente de produção, renda e postos de trabalho ao se injetar recursos em cada setor. No caso específico de “Água e Esgoto”, a interpretação conjunta desses indicadores ilustra o potencial multiplicador do investimento no saneamento básico.</w:t>
      </w:r>
    </w:p>
    <w:p w14:paraId="3EA313A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Embora o modelo descrito até aqui seja útil para avaliar efeitos diretos e indiretos, não incorpora o fato de que parte da renda gerada pelo investimento retorna sob a forma de consumo das famílias, ampliando o impacto total. Para contemplar esse efeito renda, adota-se o fechamento do modelo em relação às famílias (Type II). Nesse procedimento, adiciona-se o consumo familiar como um “setor” a mais na matriz de coeficientes </w:t>
      </w:r>
      <m:oMath>
        <m:r>
          <m:rPr>
            <m:sty m:val="b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A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, formando uma estrutura </w:t>
      </w:r>
      <m:oMath>
        <m:acc>
          <m:accPr>
            <m:ctrlPr>
              <w:rPr>
                <w:rFonts w:ascii="Cambria Math" w:hAnsi="Cambria Math"/>
                <w:b/>
                <w:bCs/>
                <w:i w:val="0"/>
                <w:iCs/>
                <w:sz w:val="24"/>
                <w:szCs w:val="24"/>
                <w:lang w:val="pt-BR"/>
              </w:rPr>
            </m:ctrlPr>
          </m:accPr>
          <m:e>
            <m:r>
              <m:rPr>
                <m:sty m:val="b"/>
              </m:rPr>
              <w:rPr>
                <w:rFonts w:hint="default" w:ascii="Cambria Math" w:hAnsi="Cambria Math"/>
                <w:sz w:val="24"/>
                <w:szCs w:val="24"/>
                <w:lang w:val="pt-BR"/>
              </w:rPr>
              <m:t>A</m:t>
            </m:r>
            <m:ctrlPr>
              <w:rPr>
                <w:rFonts w:ascii="Cambria Math" w:hAnsi="Cambria Math"/>
                <w:b/>
                <w:bCs/>
                <w:i w:val="0"/>
                <w:iCs/>
                <w:sz w:val="24"/>
                <w:szCs w:val="24"/>
                <w:lang w:val="pt-BR"/>
              </w:rPr>
            </m:ctrlPr>
          </m:e>
        </m:acc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de dimensão </w:t>
      </w:r>
      <m:oMath>
        <m:r>
          <m:rPr/>
          <w:rPr>
            <w:rFonts w:hint="default" w:ascii="Cambria Math" w:hAnsi="Cambria Math" w:cstheme="minorBidi"/>
            <w:sz w:val="24"/>
            <w:szCs w:val="24"/>
            <w:lang w:val="pt-BR" w:bidi="ar-SA"/>
          </w:rPr>
          <m:t>(n+1)×(n+1)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>. A coluna extra reflete como as famílias gastam seu dispêndio em cada um dos setores, enquanto a linha extra captura a remuneração do trabalho nos setores (que, no modelo fechado, equivale a “vendas” de mão de obra ao setor famílias). Formalmente, constrói-se algo com</w:t>
      </w:r>
    </w:p>
    <w:p w14:paraId="688EF1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6CABAA8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m:oMath>
        <m:acc>
          <m:accPr>
            <m:ctrlPr>
              <w:rPr>
                <w:rFonts w:ascii="Cambria Math" w:hAnsi="Cambria Math"/>
                <w:b/>
                <w:bCs/>
                <w:i w:val="0"/>
                <w:iCs/>
                <w:sz w:val="24"/>
                <w:szCs w:val="24"/>
                <w:lang w:val="pt-BR"/>
              </w:rPr>
            </m:ctrlPr>
          </m:accPr>
          <m:e>
            <m:r>
              <m:rPr>
                <m:sty m:val="b"/>
              </m:rPr>
              <w:rPr>
                <w:rFonts w:hint="default" w:ascii="Cambria Math" w:hAnsi="Cambria Math"/>
                <w:sz w:val="24"/>
                <w:szCs w:val="24"/>
                <w:lang w:val="pt-BR"/>
              </w:rPr>
              <m:t>A</m:t>
            </m:r>
            <m:ctrlPr>
              <w:rPr>
                <w:rFonts w:ascii="Cambria Math" w:hAnsi="Cambria Math"/>
                <w:b/>
                <w:bCs/>
                <w:i w:val="0"/>
                <w:iCs/>
                <w:sz w:val="24"/>
                <w:szCs w:val="24"/>
                <w:lang w:val="pt-BR"/>
              </w:rPr>
            </m:ctrlPr>
          </m:e>
        </m:acc>
        <m:r>
          <m:rPr>
            <m:sty m:val="b"/>
          </m:rPr>
          <w:rPr>
            <w:rFonts w:hint="default" w:ascii="Cambria Math" w:hAnsi="Cambria Math"/>
            <w:sz w:val="24"/>
            <w:szCs w:val="24"/>
            <w:lang w:val="pt-BR"/>
          </w:rPr>
          <m:t>=</m:t>
        </m:r>
        <m:d>
          <m:dPr>
            <m:ctrlPr>
              <w:rPr>
                <w:rFonts w:hint="default" w:ascii="Cambria Math" w:hAnsi="Cambria Math"/>
                <w:b/>
                <w:bCs/>
                <w:i w:val="0"/>
                <w:iCs/>
                <w:sz w:val="24"/>
                <w:szCs w:val="24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/>
                    <w:b/>
                    <w:bCs/>
                    <w:i w:val="0"/>
                    <w:iCs/>
                    <w:sz w:val="24"/>
                    <w:szCs w:val="24"/>
                    <w:lang w:val="pt-BR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24"/>
                      <w:lang w:val="pt-BR"/>
                    </w:rPr>
                    <m:t>A</m:t>
                  </m:r>
                  <m:ctrlPr>
                    <w:rPr>
                      <w:rFonts w:hint="default" w:ascii="Cambria Math" w:hAnsi="Cambria Math"/>
                      <w:b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24"/>
                      <w:lang w:val="pt-BR"/>
                    </w:rPr>
                    <m:t>c</m:t>
                  </m:r>
                  <m:ctrlPr>
                    <w:rPr>
                      <w:rFonts w:hint="default" w:ascii="Cambria Math" w:hAnsi="Cambria Math"/>
                      <w:b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4"/>
                      <w:szCs w:val="24"/>
                      <w:lang w:val="pt-BR"/>
                    </w:rPr>
                    <m:t>r</m:t>
                  </m:r>
                  <m:ctrlPr>
                    <w:rPr>
                      <w:rFonts w:hint="default" w:ascii="Cambria Math" w:hAnsi="Cambria Math"/>
                      <w:b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pt-BR"/>
                    </w:rPr>
                    <m:t>0</m:t>
                  </m:r>
                  <m:ctrlPr>
                    <w:rPr>
                      <w:rFonts w:hint="default" w:ascii="Cambria Math" w:hAnsi="Cambria Math"/>
                      <w:b/>
                      <w:bCs/>
                      <w:i w:val="0"/>
                      <w:iCs/>
                      <w:sz w:val="24"/>
                      <w:szCs w:val="24"/>
                      <w:lang w:val="pt-BR"/>
                    </w:rPr>
                  </m:ctrlPr>
                </m:e>
              </m:mr>
            </m:m>
            <m:ctrlPr>
              <w:rPr>
                <w:rFonts w:hint="default" w:ascii="Cambria Math" w:hAnsi="Cambria Math"/>
                <w:b/>
                <w:bCs/>
                <w:i w:val="0"/>
                <w:iCs/>
                <w:sz w:val="24"/>
                <w:szCs w:val="24"/>
                <w:lang w:val="pt-BR"/>
              </w:rPr>
            </m:ctrlPr>
          </m:e>
        </m:d>
      </m:oMath>
      <w:r>
        <w:rPr>
          <w:rFonts w:hint="default" w:ascii="Times New Roman" w:hAnsi="Cambria Math"/>
          <w:b/>
          <w:bCs/>
          <w:i w:val="0"/>
          <w:iCs/>
          <w:sz w:val="24"/>
          <w:szCs w:val="24"/>
          <w:lang w:val="pt-BR"/>
        </w:rPr>
        <w:t>,</w:t>
      </w:r>
    </w:p>
    <w:p w14:paraId="2FFF3E1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3C72689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em que </w:t>
      </w:r>
      <m:oMath>
        <m:r>
          <m:rPr>
            <m:sty m:val="b"/>
          </m:rPr>
          <w:rPr>
            <w:rFonts w:hint="default" w:ascii="Cambria Math" w:hAnsi="Cambria Math"/>
            <w:sz w:val="24"/>
            <w:szCs w:val="24"/>
            <w:lang w:val="pt-BR"/>
          </w:rPr>
          <m:t>c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descreve a distribuição do consumo familiar (por setor) e </w:t>
      </w:r>
      <m:oMath>
        <m:r>
          <m:rPr>
            <m:sty m:val="b"/>
          </m:rPr>
          <w:rPr>
            <w:rFonts w:hint="default" w:ascii="Cambria Math" w:hAnsi="Cambria Math"/>
            <w:sz w:val="24"/>
            <w:szCs w:val="24"/>
            <w:lang w:val="pt-BR"/>
          </w:rPr>
          <m:t>r</m:t>
        </m:r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a fração do valor de cada setor que é convertida em salários. A solução do sistema</w:t>
      </w:r>
    </w:p>
    <w:p w14:paraId="06C21C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1"/>
        <w:gridCol w:w="621"/>
      </w:tblGrid>
      <w:tr w14:paraId="00B167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01" w:type="dxa"/>
          </w:tcPr>
          <w:p w14:paraId="151644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m:oMathPara>
              <m:oMathParaPr>
                <m:jc m:val="center"/>
              </m:oMathParaPr>
              <m:oMath>
                <m:acc>
                  <m:accPr>
                    <m:ctrlPr>
                      <w:rPr>
                        <w:rFonts w:hint="default" w:ascii="Cambria Math" w:hAnsi="Cambria Math" w:cs="Times New Roman"/>
                        <w:b/>
                        <w:bCs w:val="0"/>
                        <w:i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b/>
                        <w:bCs w:val="0"/>
                        <w:i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=</m:t>
                </m:r>
                <m:acc>
                  <m:accPr>
                    <m:ctrlPr>
                      <w:rPr>
                        <w:rFonts w:hint="default" w:ascii="Cambria Math" w:hAnsi="Cambria Math" w:cs="Times New Roman"/>
                        <w:b/>
                        <w:b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/>
                        <w:b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</m:acc>
                <m:acc>
                  <m:accPr>
                    <m:ctrlPr>
                      <w:rPr>
                        <w:rFonts w:hint="default" w:ascii="Cambria Math" w:hAnsi="Cambria Math" w:cs="Times New Roman"/>
                        <w:b/>
                        <w:bCs w:val="0"/>
                        <w:i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b/>
                        <w:bCs w:val="0"/>
                        <w:i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+</m:t>
                </m:r>
                <m:acc>
                  <m:accPr>
                    <m:ctrlPr>
                      <w:rPr>
                        <w:rFonts w:hint="default" w:ascii="Cambria Math" w:hAnsi="Cambria Math" w:cs="Times New Roman"/>
                        <w:b/>
                        <w:b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/>
                        <w:bCs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>,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pt-BR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vertAlign w:val="baseline"/>
                    <w:lang w:val="pt-BR"/>
                  </w:rPr>
                  <m:t>⟹</m:t>
                </m:r>
                <m:r>
                  <m:rPr>
                    <m:sty m:val="b"/>
                  </m:rPr>
                  <w:rPr>
                    <w:rFonts w:hint="default" w:ascii="Cambria Math" w:hAnsi="Cambria Math"/>
                    <w:sz w:val="24"/>
                    <w:szCs w:val="24"/>
                    <w:vertAlign w:val="baseline"/>
                    <w:lang w:val="pt-BR"/>
                  </w:rPr>
                  <m:t xml:space="preserve">   </m:t>
                </m:r>
                <m:acc>
                  <m:accPr>
                    <m:ctrlPr>
                      <w:rPr>
                        <w:rFonts w:hint="default" w:ascii="Cambria Math" w:hAnsi="Cambria Math" w:cs="Times New Roman"/>
                        <w:b/>
                        <w:bCs w:val="0"/>
                        <w:i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pt-BR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b/>
                        <w:bCs w:val="0"/>
                        <w:i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</m:acc>
                <m:r>
                  <m:rPr>
                    <m:sty m:val="b"/>
                  </m:rPr>
                  <w:rPr>
                    <w:rFonts w:hint="default" w:ascii="Cambria Math" w:hAnsi="Cambria Math"/>
                    <w:sz w:val="24"/>
                    <w:szCs w:val="24"/>
                    <w:vertAlign w:val="baseline"/>
                    <w:lang w:val="pt-BR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default" w:ascii="Cambria Math" w:hAnsi="Cambria Math"/>
                            <w:b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hint="default" w:ascii="Cambria Math" w:hAnsi="Cambria Math"/>
                                <w:b/>
                                <w:i w:val="0"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b/>
                                <w:i w:val="0"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pt-BR"/>
                          </w:rPr>
                          <m:t>−</m:t>
                        </m:r>
                        <m:acc>
                          <m:accPr>
                            <m:ctrlPr>
                              <w:rPr>
                                <w:rFonts w:hint="default" w:ascii="Cambria Math" w:hAnsi="Cambria Math"/>
                                <w:b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/>
                                <w:b/>
                                <w:sz w:val="24"/>
                                <w:szCs w:val="24"/>
                                <w:vertAlign w:val="baseline"/>
                                <w:lang w:val="pt-BR"/>
                              </w:rPr>
                            </m:ctrlPr>
                          </m:e>
                        </m:acc>
                        <m:ctrlPr>
                          <w:rPr>
                            <w:rFonts w:hint="default" w:ascii="Cambria Math" w:hAnsi="Cambria Math"/>
                            <w:b/>
                            <w:sz w:val="24"/>
                            <w:szCs w:val="24"/>
                            <w:vertAlign w:val="baseline"/>
                            <w:lang w:val="pt-BR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/>
                        <w:b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pt-BR"/>
                      </w:rPr>
                      <m:t>−1</m:t>
                    </m:r>
                    <m:ctrlPr>
                      <w:rPr>
                        <w:rFonts w:hint="default" w:ascii="Cambria Math" w:hAnsi="Cambria Math"/>
                        <w:b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sup>
                </m:sSup>
                <m:acc>
                  <m:accPr>
                    <m:ctrlPr>
                      <w:rPr>
                        <w:rFonts w:hint="default" w:ascii="Cambria Math" w:hAnsi="Cambria Math"/>
                        <w:b/>
                        <w:i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pt-BR"/>
                      </w:rPr>
                      <m:t>f</m:t>
                    </m:r>
                    <m:ctrlPr>
                      <w:rPr>
                        <w:rFonts w:hint="default" w:ascii="Cambria Math" w:hAnsi="Cambria Math"/>
                        <w:b/>
                        <w:i w:val="0"/>
                        <w:sz w:val="24"/>
                        <w:szCs w:val="24"/>
                        <w:vertAlign w:val="baseline"/>
                        <w:lang w:val="pt-BR"/>
                      </w:rPr>
                    </m:ctrlPr>
                  </m:e>
                </m:acc>
              </m:oMath>
            </m:oMathPara>
          </w:p>
        </w:tc>
        <w:tc>
          <w:tcPr>
            <w:tcW w:w="621" w:type="dxa"/>
            <w:vAlign w:val="center"/>
          </w:tcPr>
          <w:p w14:paraId="5E0927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vertAlign w:val="baseline"/>
                <w:lang w:val="pt-BR"/>
                <w:oMath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DB1727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6F03F13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permite mensurar não apenas o efeito direto e indireto, mas também o induzido pelo acréscimo de renda salarial, que se transforma em consumo e gera novas rodadas de demanda. Essa inversa de Leontief ampliada eleva os multiplicadores de produção, valor adicionado e emprego, pois parte do choque inicial se retroalimenta via a despesa das famílias. Desse modo, um choque </w:t>
      </w:r>
      <m:oMath>
        <m:r>
          <m:rPr>
            <m:sty m:val="p"/>
          </m:rPr>
          <w:rPr>
            <w:rFonts w:hint="default" w:ascii="Cambria Math" w:hAnsi="Cambria Math" w:cstheme="minorBidi"/>
            <w:sz w:val="24"/>
            <w:szCs w:val="24"/>
            <w:lang w:val="pt-BR" w:bidi="ar-SA"/>
          </w:rPr>
          <m:t>Δ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sz w:val="24"/>
                <w:szCs w:val="24"/>
                <w:lang w:val="pt-BR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4"/>
                <w:szCs w:val="24"/>
                <w:lang w:val="pt-BR" w:bidi="ar-SA"/>
              </w:rPr>
              <m:t>f</m:t>
            </m:r>
            <m:ctrlPr>
              <w:rPr>
                <w:rFonts w:hint="default" w:ascii="Cambria Math" w:hAnsi="Cambria Math" w:cstheme="minorBidi"/>
                <w:i/>
                <w:iCs/>
                <w:sz w:val="24"/>
                <w:szCs w:val="24"/>
                <w:lang w:val="pt-BR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4"/>
                <w:szCs w:val="24"/>
                <w:lang w:val="pt-BR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sz w:val="24"/>
                <w:szCs w:val="24"/>
                <w:lang w:val="pt-BR" w:bidi="ar-SA"/>
              </w:rPr>
            </m:ctrlPr>
          </m:sub>
        </m:sSub>
      </m:oMath>
      <w:r>
        <w:rPr>
          <w:rFonts w:hint="default" w:ascii="Times New Roman" w:hAnsi="Times New Roman"/>
          <w:sz w:val="24"/>
          <w:szCs w:val="24"/>
          <w:lang w:val="pt-BR"/>
        </w:rPr>
        <w:t xml:space="preserve"> em água e esgoto tende a produzir impactos maiores no modelo fechado, sobretudo caso o setor apresente coeficientes salariais elevados e gere massa de rendimentos considerável.</w:t>
      </w:r>
    </w:p>
    <w:p w14:paraId="5AD325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Em síntese, a estratégia metodológica consiste em (i) desagregar o setor de saneamento para isolar as atividades de água e esgoto, (ii) recalcular a matriz de coeficientes técnicos e a inversa de Leontief, (iii) introduzir choques de demanda exógena no vetor de demanda final do setor desagregado e (iv) estimar, por meio das Equações (</w:t>
      </w:r>
      <w:r>
        <w:rPr>
          <w:rFonts w:hint="default" w:ascii="Times New Roman" w:hAnsi="Times New Roman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pt-BR"/>
        </w:rPr>
        <w:instrText xml:space="preserve"> REF _Ref24214 \h </w:instrText>
      </w:r>
      <w:r>
        <w:rPr>
          <w:rFonts w:hint="default" w:ascii="Times New Roman" w:hAnsi="Times New Roman"/>
          <w:sz w:val="24"/>
          <w:szCs w:val="24"/>
          <w:lang w:val="pt-BR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default" w:ascii="Times New Roman" w:hAnsi="Times New Roman"/>
          <w:sz w:val="24"/>
          <w:szCs w:val="24"/>
          <w:lang w:val="pt-BR"/>
        </w:rPr>
        <w:fldChar w:fldCharType="end"/>
      </w:r>
      <w:r>
        <w:rPr>
          <w:rFonts w:hint="default" w:ascii="Times New Roman" w:hAnsi="Times New Roman"/>
          <w:sz w:val="24"/>
          <w:szCs w:val="24"/>
          <w:lang w:val="pt-BR"/>
        </w:rPr>
        <w:t>) a (</w:t>
      </w:r>
      <w:r>
        <w:rPr>
          <w:rFonts w:hint="default" w:ascii="Times New Roman" w:hAnsi="Times New Roman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pt-BR"/>
        </w:rPr>
        <w:instrText xml:space="preserve"> REF _Ref24280 \h </w:instrText>
      </w:r>
      <w:r>
        <w:rPr>
          <w:rFonts w:hint="default" w:ascii="Times New Roman" w:hAnsi="Times New Roman"/>
          <w:sz w:val="24"/>
          <w:szCs w:val="24"/>
          <w:lang w:val="pt-BR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6</w:t>
      </w:r>
      <w:r>
        <w:rPr>
          <w:rFonts w:hint="default" w:ascii="Times New Roman" w:hAnsi="Times New Roman"/>
          <w:sz w:val="24"/>
          <w:szCs w:val="24"/>
          <w:lang w:val="pt-BR"/>
        </w:rPr>
        <w:fldChar w:fldCharType="end"/>
      </w:r>
      <w:r>
        <w:rPr>
          <w:rFonts w:hint="default" w:ascii="Times New Roman" w:hAnsi="Times New Roman"/>
          <w:sz w:val="24"/>
          <w:szCs w:val="24"/>
          <w:lang w:val="pt-BR"/>
        </w:rPr>
        <w:t>), os efeitos sobre produção, valor adicionado e emprego, além de investigar a relevância estrutural do setor via índices de ligação e multiplicadores. Esse conjunto de medidas fornece subsídios para apreciar o papel macroeconômico do investimento em água e esgoto no Rio Grande do Sul.</w:t>
      </w:r>
    </w:p>
    <w:p w14:paraId="431A09B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03B9AB0C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REsultados</w:t>
      </w:r>
    </w:p>
    <w:p w14:paraId="1442A1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10824A2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25EDD83F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CONSIDERAÇÕES FINAIS</w:t>
      </w:r>
    </w:p>
    <w:p w14:paraId="5013F4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5E069D2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2870158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  <w:sectPr>
          <w:pgSz w:w="11906" w:h="16838"/>
          <w:pgMar w:top="1134" w:right="850" w:bottom="1134" w:left="850" w:header="720" w:footer="720" w:gutter="0"/>
          <w:cols w:space="720" w:num="1"/>
          <w:docGrid w:linePitch="360" w:charSpace="0"/>
        </w:sectPr>
      </w:pPr>
    </w:p>
    <w:p w14:paraId="55D1C631">
      <w:pPr>
        <w:pStyle w:val="2"/>
        <w:numPr>
          <w:ilvl w:val="0"/>
          <w:numId w:val="0"/>
        </w:numPr>
        <w:ind w:left="431" w:hanging="431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REFERÊNCIAS</w:t>
      </w:r>
    </w:p>
    <w:p w14:paraId="2443388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FREITAS, Fernando Garcia de; MAGNABOSCO, Ana Lelia.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>Futuro em risco: efeitos da falta de saneamento na vida de grávidas, crianças e adolescentes</w:t>
      </w:r>
      <w:r>
        <w:rPr>
          <w:rFonts w:hint="default" w:ascii="Times New Roman" w:hAnsi="Times New Roman"/>
          <w:sz w:val="24"/>
          <w:szCs w:val="24"/>
          <w:lang w:val="pt-BR"/>
        </w:rPr>
        <w:t>. São Paulo: Ex Ante Consultoria Econômica, 2024. Disponível em: https://tratabrasil.org.br. Acesso em: 1 jan. 2025.</w:t>
      </w:r>
    </w:p>
    <w:p w14:paraId="6F2812F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125FF8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INSTITUTO TRATA BRASIL. Evasão escolar e impacto no ENEM: estudantes sem saneamento têm atraso escolar de quase dois anos.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Instituto Trata Brasil</w:t>
      </w:r>
      <w:r>
        <w:rPr>
          <w:rFonts w:hint="default" w:ascii="Times New Roman" w:hAnsi="Times New Roman"/>
          <w:sz w:val="24"/>
          <w:szCs w:val="24"/>
          <w:lang w:val="pt-BR"/>
        </w:rPr>
        <w:t>, 7 nov. 2024b. Disponível em: https://tratabrasil.org.br/estudantes-sem-saneamento-atraso-escolar/. Acesso em: 1 jan. 2025.</w:t>
      </w:r>
    </w:p>
    <w:p w14:paraId="070E88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30C35EB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INSTITUTO TRATA BRASIL. Investimento ainda distante da universalização do saneamento.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Instituto Trata Brasil</w:t>
      </w:r>
      <w:r>
        <w:rPr>
          <w:rFonts w:hint="default" w:ascii="Times New Roman" w:hAnsi="Times New Roman"/>
          <w:sz w:val="24"/>
          <w:szCs w:val="24"/>
          <w:lang w:val="pt-BR"/>
        </w:rPr>
        <w:t>, 7 nov. 2024c. Disponível em: https://tratabrasil.org.br/investimento-distante-universalizacao/. Acesso em: 2 jan. 2025.</w:t>
      </w:r>
    </w:p>
    <w:p w14:paraId="01D53C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2F51E7C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INSTITUTO TRATA BRASIL. Renda de pessoas com saneamento é quase um salário mínimo maior do que aquelas que não têm acesso.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Instituto Trata Brasil</w:t>
      </w:r>
      <w:r>
        <w:rPr>
          <w:rFonts w:hint="default" w:ascii="Times New Roman" w:hAnsi="Times New Roman"/>
          <w:sz w:val="24"/>
          <w:szCs w:val="24"/>
          <w:lang w:val="pt-BR"/>
        </w:rPr>
        <w:t>, 2 maio 2024a. Disponível em: https://tratabrasil.org.br/renda-trabalhador-saneamento/. Acesso em: 1 jan. 2025.</w:t>
      </w:r>
    </w:p>
    <w:p w14:paraId="1449825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6547CD5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INSTITUTO TRATA BRASIL. Rio Grande do Sul pouco evolui no saneamento básico e condições ainda são precárias.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Instituto Trata Brasil</w:t>
      </w:r>
      <w:r>
        <w:rPr>
          <w:rFonts w:hint="default" w:ascii="Times New Roman" w:hAnsi="Times New Roman"/>
          <w:sz w:val="24"/>
          <w:szCs w:val="24"/>
          <w:lang w:val="pt-BR"/>
        </w:rPr>
        <w:t>, 9 nov. 2023d. Disponível em: https://tratabrasil.org.br/rio-grande-do-sul-pouco-evolui-no-saneamento-basico-e-condicoes-ainda-sao-precarias/. Acesso em: 1 jan. 2025.</w:t>
      </w:r>
    </w:p>
    <w:p w14:paraId="20CC67D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0F4278A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INSTITUTO TRATA BRASIL. Vida de estudante: falta de saneamento básico prejudica a etapa escolar.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Instituto Trata Brasil</w:t>
      </w:r>
      <w:r>
        <w:rPr>
          <w:rFonts w:hint="default" w:ascii="Times New Roman" w:hAnsi="Times New Roman"/>
          <w:sz w:val="24"/>
          <w:szCs w:val="24"/>
          <w:lang w:val="pt-BR"/>
        </w:rPr>
        <w:t>, 11 ago. 2023. Disponível em: https://tratabrasil.org.br/vida-de-estudante-falta-de-saneamento-basico-prejudica-a-etapa-escolar/. Acesso em: 1 jan. 2025.</w:t>
      </w:r>
    </w:p>
    <w:p w14:paraId="649E581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31E2221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LEITE, C. H. P.; MOITA NETO, J.; BEZERRA, A. K. L. Novo marco legal do saneamento básico: alterações e perspectivas. </w:t>
      </w: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Engenharia Sanitária e Ambiental</w:t>
      </w:r>
      <w:r>
        <w:rPr>
          <w:rFonts w:hint="default" w:ascii="Times New Roman" w:hAnsi="Times New Roman"/>
          <w:sz w:val="24"/>
          <w:szCs w:val="24"/>
          <w:lang w:val="pt-BR"/>
        </w:rPr>
        <w:t>, v. 27, n. 5, p. 1041-1047, set./out. 2022. DOI 10.1590/S1413-415220210311. Acesso em: 1 jan. 2025.</w:t>
      </w:r>
    </w:p>
    <w:p w14:paraId="6FB84AA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4E5D42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LEONTIEF, Wassily W. Quantitative Input and Output Relations in the Economic Systems of the United States.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Review of Economics and Statistics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[</w:t>
      </w:r>
      <w:r>
        <w:rPr>
          <w:rFonts w:hint="default" w:ascii="Times New Roman" w:hAnsi="Times New Roman" w:eastAsia="Segoe UI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s. l.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], v. 18, n. 3, p. 105-125, 1936.</w:t>
      </w:r>
    </w:p>
    <w:p w14:paraId="33246A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6AAD1FB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SILVA, T. T. S. da; OLIVEIRA NETO, J. F. de; SANTOS, S. M.; FLORENCIO, L. Impactos socioeconômicos dos investimentos para universalização do abastecimento de água, esgotamento sanitário e gerenciamento de resíduos sólidos sobre a cadeia produtiva do Brasil. In: SILUBESA - Simpósio Luso-Brasileiro de Engenharia Sanitária e Ambiental, 21., 2024. Disponível em: https://anais.abes-dn.org.br/21silubesa/. Acesso em: 1 jan. 2025.</w:t>
      </w:r>
    </w:p>
    <w:p w14:paraId="1F44F2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199624D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MACEDO, Joel de Jesus; SAMPAIO, Armando Vaz. Avaliação do setor de saneamento no Brasil período 2015 usando o método Análise Envoltória de Dados (DEA). In: OLIVEIRA, Elizângela de Jesus; FIGUEIREDO, Suelânia Cristina Gonzaga de; REDIN, Ezequiel; ROSA, Arthur Antonio Silva (Org.). </w:t>
      </w: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Tópicos em Administração</w:t>
      </w:r>
      <w:r>
        <w:rPr>
          <w:rFonts w:hint="default" w:ascii="Times New Roman" w:hAnsi="Times New Roman"/>
          <w:sz w:val="24"/>
          <w:szCs w:val="24"/>
          <w:lang w:val="pt-BR"/>
        </w:rPr>
        <w:t>. v. 39. 1ª ed. Belo Horizonte: Poisson, 2021. p. 21-35. DOI: 10.36229/978-65-5866-089-7.CAP.03.</w:t>
      </w:r>
    </w:p>
    <w:p w14:paraId="026C1D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6114F6D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MILLER, Ronald E.; BLAIR, Peter D.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Input-Output Analysis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: Input-Output Analysis. 2. ed. [</w:t>
      </w:r>
      <w:r>
        <w:rPr>
          <w:rFonts w:hint="default" w:ascii="Times New Roman" w:hAnsi="Times New Roman" w:eastAsia="Segoe UI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S. l.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]: Cambridge University Press, 2009. 737 p. ISBN 978-0521739023.</w:t>
      </w:r>
    </w:p>
    <w:p w14:paraId="0439887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792A3AB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PESCKE, Ismael Krüger; PEREZ, Karla Joseane; LARA, Daniela Mueller de. Se não agora, quando?: Água e saneamento como ODS da Agenda 2030 e a realidade no Rio Grande do Sul (Brasil).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Revista Brasileira de Educação Ambiental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[</w:t>
      </w:r>
      <w:r>
        <w:rPr>
          <w:rFonts w:hint="default" w:ascii="Times New Roman" w:hAnsi="Times New Roman" w:eastAsia="Segoe UI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s. l.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], v. 17, n. 2, p. 433-451, 2022.</w:t>
      </w:r>
    </w:p>
    <w:p w14:paraId="2E959B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686CD27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UNIVERSIDADE FEDERAL DO RIO DE JANEIRO (UFRJ. Tabela de Recursos e Usos (TRU-RS) e Matriz Insumo-Produto do Estado do Rio Grande do Sul 2019 (MIP-RS), Rio de Janeiro, 2024.</w:t>
      </w:r>
    </w:p>
    <w:p w14:paraId="1A8C8A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3650B050">
      <w:pPr>
        <w:keepNext w:val="0"/>
        <w:keepLines w:val="0"/>
        <w:pageBreakBefore w:val="0"/>
        <w:widowControl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p w14:paraId="2D00A1C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ANALISAR MELHOR O QUE DER PRA APROVEITAR DISSO:</w:t>
      </w:r>
    </w:p>
    <w:p w14:paraId="0FBF850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O artigo também enfatiza a regionalização como uma solução para superar desafios enfrentados por municípios menores, que muitas vezes não dispõem de recursos financeiros e técnicos adequados. Essa abordagem visa gerar ganhos de escala e melhorar a viabilidade técnica e econômica dos serviços, ao mesmo tempo que integra ações de planejamento urbano e manejo de recursos hídricos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(LEITE; MOITA NETO; BEZERRA, 2022, p. 1043)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. No entanto, os autores destacam que a abertura ao mercado privado, embora promissora, deve ser acompanhada de uma regulação criteriosa para evitar impactos negativos, como aumentos tarifários e serviços insuficientes, experiências já observadas em processos de privatização internacional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(p. 1045-1046)</w:t>
      </w:r>
      <w:r>
        <w:rPr>
          <w:rFonts w:hint="default" w:ascii="Times New Roman" w:hAnsi="Times New Roman"/>
          <w:sz w:val="24"/>
          <w:szCs w:val="24"/>
          <w:lang w:val="pt-BR"/>
        </w:rPr>
        <w:t>.</w:t>
      </w:r>
    </w:p>
    <w:p w14:paraId="56A80A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Outro ponto abordado é a criação de um arcabouço regulatório robusto, com a transferência da responsabilidade pela emissão de normas de referência para a Agência Nacional de Águas e Saneamento Básico (ANA). Essa centralização visa reduzir a fragmentação e a insegurança jurídica que caracterizavam o modelo anterior, no qual a regulação era descentralizada e frequentemente ineficiente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(LEITE; MOITA NETO; BEZERRA, 2022, p. 1045)</w:t>
      </w:r>
      <w:r>
        <w:rPr>
          <w:rFonts w:hint="default" w:ascii="Times New Roman" w:hAnsi="Times New Roman"/>
          <w:sz w:val="24"/>
          <w:szCs w:val="24"/>
          <w:lang w:val="pt-BR"/>
        </w:rPr>
        <w:t>.</w:t>
      </w:r>
    </w:p>
    <w:p w14:paraId="05231351">
      <w:pPr>
        <w:keepNext w:val="0"/>
        <w:keepLines w:val="0"/>
        <w:pageBreakBefore w:val="0"/>
        <w:widowControl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Essas mudanças estabelecem um novo paradigma para o saneamento básico no Brasil, com foco na eficiência, sustentabilidade e inclusão, mas ainda dependem de uma implementação criteriosa para alcançar seus objetivos ambiciosos </w:t>
      </w:r>
      <w:r>
        <w:rPr>
          <w:rFonts w:hint="default" w:ascii="Times New Roman" w:hAnsi="Times New Roman"/>
          <w:sz w:val="24"/>
          <w:szCs w:val="24"/>
          <w:highlight w:val="yellow"/>
          <w:lang w:val="pt-BR"/>
        </w:rPr>
        <w:t>(p. 1046)</w:t>
      </w:r>
      <w:r>
        <w:rPr>
          <w:rFonts w:hint="default" w:ascii="Times New Roman" w:hAnsi="Times New Roman"/>
          <w:sz w:val="24"/>
          <w:szCs w:val="24"/>
          <w:lang w:val="pt-BR"/>
        </w:rPr>
        <w:t>.</w:t>
      </w:r>
    </w:p>
    <w:p w14:paraId="082996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highlight w:val="red"/>
          <w:lang w:val="pt-BR"/>
        </w:rPr>
      </w:pPr>
      <w:r>
        <w:rPr>
          <w:rFonts w:hint="default" w:ascii="Times New Roman" w:hAnsi="Times New Roman"/>
          <w:sz w:val="24"/>
          <w:szCs w:val="24"/>
          <w:highlight w:val="red"/>
          <w:lang w:val="pt-BR"/>
        </w:rPr>
        <w:t>A ESTIMATIVA É QUE PARA UNIVERSALIZAR O SANEAMENTO ATÉ 2033 É PRECISO UM INVESTIMENTO DE R$ 231,09 POR HABITANTE. SE EU SOUBER A POPULAÇÃO DO RS E O QUANTO É INVESTIDO POR HABITANTE, POSSO ESTIMAR O CHOQUE DE DEMANDA POR SANEAMENTO A MAIS QUE É NECESSÁRIO POR HABITANTE E APLICAR.</w:t>
      </w:r>
    </w:p>
    <w:p w14:paraId="6366C42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Não seria ultrapassado um estudo utilizando uma matriz de alguns anos atrás, uma vez que a economia tende a não se alterar tanto num lapso de tempo não tão longo</w:t>
      </w:r>
    </w:p>
    <w:p w14:paraId="2E9A106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4"/>
          <w:szCs w:val="24"/>
          <w:lang w:val="pt-BR"/>
        </w:rPr>
      </w:pPr>
    </w:p>
    <w:sectPr>
      <w:pgSz w:w="11906" w:h="16838"/>
      <w:pgMar w:top="1134" w:right="850" w:bottom="1134" w:left="85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14">
    <w:p>
      <w:r>
        <w:separator/>
      </w:r>
    </w:p>
  </w:footnote>
  <w:footnote w:type="continuationSeparator" w:id="15">
    <w:p>
      <w:r>
        <w:continuationSeparator/>
      </w:r>
    </w:p>
  </w:footnote>
  <w:footnote w:id="0">
    <w:p w14:paraId="67779D62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 w:val="0"/>
        <w:ind w:left="204" w:hanging="204"/>
        <w:jc w:val="both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footnoteRef/>
      </w:r>
      <w:r>
        <w:rPr>
          <w:rFonts w:hint="default" w:ascii="Times New Roman" w:hAnsi="Times New Roman" w:cs="Times New Roman"/>
          <w:sz w:val="20"/>
          <w:szCs w:val="20"/>
        </w:rPr>
        <w:t xml:space="preserve"> Mestrando no Programa de Pós-Graduação em Economia Aplicada da Universidade Federal do Rio Grande. E-mail:lopesmiguel100@gmail.com.</w:t>
      </w:r>
    </w:p>
  </w:footnote>
  <w:footnote w:id="1">
    <w:p w14:paraId="524596FA">
      <w:pPr>
        <w:pStyle w:val="11"/>
        <w:snapToGrid w:val="0"/>
        <w:rPr>
          <w:rFonts w:hint="default"/>
          <w:lang w:val="pt-BR"/>
        </w:rPr>
      </w:pPr>
      <w:r>
        <w:rPr>
          <w:rStyle w:val="7"/>
        </w:rPr>
        <w:footnoteRef/>
      </w:r>
      <w:r>
        <w:t xml:space="preserve"> </w:t>
      </w:r>
      <w:r>
        <w:rPr>
          <w:rFonts w:hint="default"/>
          <w:lang w:val="pt-BR"/>
        </w:rPr>
        <w:t>BUSCAR FONTES MELHORES DEPOIS, CITAR LIVRO OU ARTIGO</w:t>
      </w:r>
      <w:bookmarkStart w:id="2" w:name="_GoBack"/>
      <w:bookmarkEnd w:id="2"/>
    </w:p>
  </w:footnote>
  <w:footnote w:id="2">
    <w:p w14:paraId="0C1F9C79">
      <w:pPr>
        <w:pStyle w:val="11"/>
        <w:snapToGrid w:val="0"/>
        <w:rPr>
          <w:rFonts w:hint="default"/>
          <w:lang w:val="pt-BR"/>
        </w:rPr>
      </w:pPr>
      <w:r>
        <w:rPr>
          <w:rStyle w:val="7"/>
        </w:rPr>
        <w:footnoteRef/>
      </w:r>
      <w:r>
        <w:t xml:space="preserve"> </w:t>
      </w:r>
      <w:r>
        <w:rPr>
          <w:rFonts w:hint="default"/>
          <w:lang w:val="pt-BR"/>
        </w:rPr>
        <w:t>PENSANDO PELA ÓTICA DA PRODUÇÃO, DOS MULTIPLICADORES ETC, SERIA ECONÔMICO. MAS EMPREGO PODE SER TÓPICO SOCIAL TAMBÉM. PENSAR MELHOR. TALVEZ REMOVER, NÃO IMPORTA</w:t>
      </w:r>
    </w:p>
  </w:footnote>
  <w:footnote w:id="3">
    <w:p w14:paraId="42765C33">
      <w:pPr>
        <w:pStyle w:val="11"/>
        <w:snapToGrid w:val="0"/>
        <w:rPr>
          <w:rFonts w:hint="default"/>
          <w:highlight w:val="none"/>
          <w:lang w:val="pt-BR"/>
        </w:rPr>
      </w:pPr>
      <w:r>
        <w:rPr>
          <w:rStyle w:val="7"/>
          <w:highlight w:val="none"/>
        </w:rPr>
        <w:footnoteRef/>
      </w:r>
      <w:r>
        <w:rPr>
          <w:highlight w:val="none"/>
        </w:rPr>
        <w:t xml:space="preserve"> </w:t>
      </w:r>
      <w:r>
        <w:rPr>
          <w:rFonts w:hint="default"/>
          <w:highlight w:val="none"/>
          <w:lang w:val="pt-BR"/>
        </w:rPr>
        <w:t>TALVEZ REMOVER. ESTAMOS ANALISANDO RS, NÃO OUTRAS REGIÕES</w:t>
      </w:r>
    </w:p>
  </w:footnote>
  <w:footnote w:id="4">
    <w:p w14:paraId="3D2556B6">
      <w:pPr>
        <w:pStyle w:val="11"/>
        <w:snapToGrid w:val="0"/>
        <w:rPr>
          <w:rFonts w:hint="default"/>
          <w:lang w:val="pt-BR"/>
        </w:rPr>
      </w:pPr>
      <w:r>
        <w:rPr>
          <w:rStyle w:val="7"/>
        </w:rPr>
        <w:footnoteRef/>
      </w:r>
      <w:r>
        <w:t xml:space="preserve"> </w:t>
      </w:r>
      <w:r>
        <w:rPr>
          <w:rFonts w:hint="default"/>
          <w:lang w:val="pt-BR"/>
        </w:rPr>
        <w:t>TALVEZ ESSE PARÁGRAFO SEJA MELHOR NA INTRODUÇÃO. DEU TRABALHO. NÃO JOGAR FORA</w:t>
      </w:r>
    </w:p>
  </w:footnote>
  <w:footnote w:id="5">
    <w:p w14:paraId="36F7A954">
      <w:pPr>
        <w:pStyle w:val="11"/>
        <w:snapToGrid w:val="0"/>
        <w:rPr>
          <w:rFonts w:hint="default"/>
          <w:lang w:val="pt-BR"/>
        </w:rPr>
      </w:pPr>
      <w:r>
        <w:rPr>
          <w:rStyle w:val="7"/>
        </w:rPr>
        <w:footnoteRef/>
      </w:r>
      <w:r>
        <w:t xml:space="preserve"> </w:t>
      </w:r>
      <w:r>
        <w:rPr>
          <w:rFonts w:hint="default"/>
          <w:lang w:val="pt-BR"/>
        </w:rPr>
        <w:t>Ou: Com base em dados da RAIS, por dados de emprego entre setores e a divisão dessa distribuição entre os serviços de saneamento do ano de 2019. Tem a Pesquisa Nacional de Saneamento Básico 2017 do IBGE</w:t>
      </w:r>
    </w:p>
  </w:footnote>
  <w:footnote w:id="6">
    <w:p w14:paraId="3834D259">
      <w:pPr>
        <w:pStyle w:val="11"/>
        <w:snapToGrid w:val="0"/>
        <w:rPr>
          <w:rFonts w:hint="default"/>
          <w:sz w:val="20"/>
          <w:szCs w:val="20"/>
          <w:highlight w:val="none"/>
          <w:lang w:val="pt-BR"/>
        </w:rPr>
      </w:pPr>
      <w:r>
        <w:rPr>
          <w:rStyle w:val="7"/>
          <w:sz w:val="20"/>
          <w:szCs w:val="20"/>
          <w:highlight w:val="none"/>
        </w:rPr>
        <w:footnoteRef/>
      </w:r>
      <w:r>
        <w:rPr>
          <w:sz w:val="20"/>
          <w:szCs w:val="20"/>
          <w:highlight w:val="none"/>
        </w:rPr>
        <w:t xml:space="preserve"> </w:t>
      </w:r>
      <w:r>
        <w:rPr>
          <w:rFonts w:hint="default"/>
          <w:sz w:val="20"/>
          <w:szCs w:val="20"/>
          <w:highlight w:val="none"/>
          <w:lang w:val="pt-BR"/>
        </w:rPr>
        <w:t xml:space="preserve">PROCURAR OS LIVROS. PDFS NÃO ACHADOS. </w:t>
      </w:r>
      <w:r>
        <w:rPr>
          <w:rFonts w:hint="default" w:ascii="Times New Roman" w:hAnsi="Times New Roman"/>
          <w:sz w:val="20"/>
          <w:szCs w:val="20"/>
          <w:highlight w:val="none"/>
          <w:lang w:val="pt-BR"/>
        </w:rPr>
        <w:t>Hirschman TEM 3 EDIÇÕES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1FD9BE"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E2C6D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SVju0AAA&#10;AAUBAAAPAAAAAAAAAAEAIAAAACIAAABkcnMvZG93bnJldi54bWxQSwECFAAUAAAACACHTuJA5noQ&#10;uCYCAABmBAAADgAAAAAAAAABACAAAAAf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FE2C6D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4134D5"/>
    <w:multiLevelType w:val="multilevel"/>
    <w:tmpl w:val="234134D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14"/>
    <w:footnote w:id="15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505F1"/>
    <w:rsid w:val="09922C09"/>
    <w:rsid w:val="0F3C6FCB"/>
    <w:rsid w:val="11CA1DB9"/>
    <w:rsid w:val="11CC7CB5"/>
    <w:rsid w:val="125D3AFD"/>
    <w:rsid w:val="1369168F"/>
    <w:rsid w:val="18327FB8"/>
    <w:rsid w:val="185F480A"/>
    <w:rsid w:val="1D885A81"/>
    <w:rsid w:val="2278660E"/>
    <w:rsid w:val="24243B17"/>
    <w:rsid w:val="285D047F"/>
    <w:rsid w:val="28A54DC6"/>
    <w:rsid w:val="30A330D3"/>
    <w:rsid w:val="314A74F4"/>
    <w:rsid w:val="36D439E2"/>
    <w:rsid w:val="38D210E2"/>
    <w:rsid w:val="38E350E4"/>
    <w:rsid w:val="3D757B78"/>
    <w:rsid w:val="3ECF2E08"/>
    <w:rsid w:val="43687A99"/>
    <w:rsid w:val="490F225B"/>
    <w:rsid w:val="555C1CFB"/>
    <w:rsid w:val="5B9001CB"/>
    <w:rsid w:val="5BD13050"/>
    <w:rsid w:val="5BEB7B16"/>
    <w:rsid w:val="5E531BC6"/>
    <w:rsid w:val="5E950BF2"/>
    <w:rsid w:val="6B773FC3"/>
    <w:rsid w:val="6F6B4CE0"/>
    <w:rsid w:val="6FC16058"/>
    <w:rsid w:val="71AA10A3"/>
    <w:rsid w:val="74895648"/>
    <w:rsid w:val="792649C0"/>
    <w:rsid w:val="79672C03"/>
    <w:rsid w:val="79A66830"/>
    <w:rsid w:val="7BAD21DB"/>
    <w:rsid w:val="7E5634E1"/>
    <w:rsid w:val="7F746622"/>
    <w:rsid w:val="7FEB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3"/>
    <w:next w:val="1"/>
    <w:qFormat/>
    <w:uiPriority w:val="9"/>
    <w:pPr>
      <w:numPr>
        <w:ilvl w:val="0"/>
        <w:numId w:val="1"/>
      </w:numPr>
      <w:spacing w:after="0" w:line="360" w:lineRule="auto"/>
      <w:contextualSpacing/>
      <w:outlineLvl w:val="0"/>
    </w:pPr>
    <w:rPr>
      <w:rFonts w:cs="Times New Roman"/>
      <w:b/>
      <w:bCs/>
      <w:caps/>
      <w:szCs w:val="24"/>
      <w:lang w:val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footnote reference"/>
    <w:basedOn w:val="4"/>
    <w:qFormat/>
    <w:uiPriority w:val="0"/>
    <w:rPr>
      <w:vertAlign w:val="superscript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9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0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1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table" w:styleId="12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2024-12-30T09:11:00Z</dcterms:created>
  <dc:creator>Miguel</dc:creator>
  <cp:lastModifiedBy>Miguel Lopes</cp:lastModifiedBy>
  <dcterms:modified xsi:type="dcterms:W3CDTF">2025-01-31T07:57:59Z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92904CD1FEAC4AA3B6FC04A156FA266E_12</vt:lpwstr>
  </property>
</Properties>
</file>